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4"/>
        <w:spacing w:line="560" w:lineRule="exact"/>
        <w:ind w:firstLine="0" w:firstLineChars="0"/>
        <w:jc w:val="left"/>
        <w:rPr>
          <w:rFonts w:ascii="Times New Roman" w:hAnsi="Times New Roman" w:eastAsia="黑体"/>
          <w:szCs w:val="32"/>
        </w:rPr>
      </w:pPr>
      <w:r>
        <w:rPr>
          <w:rFonts w:ascii="Times New Roman" w:hAnsi="Times New Roman" w:eastAsia="黑体"/>
          <w:szCs w:val="32"/>
        </w:rPr>
        <w:t>附4</w:t>
      </w:r>
    </w:p>
    <w:p>
      <w:pPr>
        <w:pStyle w:val="3"/>
        <w:spacing w:line="560" w:lineRule="exact"/>
        <w:rPr>
          <w:rFonts w:ascii="方正小标宋简体" w:hAnsi="方正小标宋简体" w:eastAsia="方正小标宋简体" w:cs="方正小标宋简体"/>
        </w:rPr>
      </w:pPr>
      <w:bookmarkStart w:id="0" w:name="_GoBack"/>
      <w:r>
        <w:rPr>
          <w:rFonts w:hint="eastAsia" w:ascii="方正小标宋简体" w:hAnsi="方正小标宋简体" w:eastAsia="方正小标宋简体" w:cs="方正小标宋简体"/>
        </w:rPr>
        <w:t>乐企直连服务授权委托书</w:t>
      </w:r>
    </w:p>
    <w:bookmarkEnd w:id="0"/>
    <w:p>
      <w:pPr>
        <w:spacing w:line="560" w:lineRule="exact"/>
        <w:ind w:firstLine="640" w:firstLineChars="200"/>
        <w:rPr>
          <w:rFonts w:ascii="仿宋_GB2312" w:hAnsi="仿宋_GB2312" w:eastAsia="仿宋_GB2312" w:cs="仿宋_GB2312"/>
          <w:sz w:val="32"/>
          <w:szCs w:val="32"/>
          <w:lang w:eastAsia="zh-Hans"/>
        </w:rPr>
      </w:pPr>
    </w:p>
    <w:p>
      <w:pPr>
        <w:spacing w:line="560" w:lineRule="exact"/>
        <w:rPr>
          <w:rFonts w:ascii="仿宋_GB2312" w:hAnsi="仿宋_GB2312" w:eastAsia="仿宋_GB2312" w:cs="仿宋_GB2312"/>
          <w:sz w:val="32"/>
          <w:szCs w:val="32"/>
          <w:u w:val="single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Hans"/>
        </w:rPr>
        <w:t>授权</w:t>
      </w:r>
      <w:r>
        <w:rPr>
          <w:rFonts w:hint="eastAsia" w:ascii="仿宋_GB2312" w:hAnsi="仿宋_GB2312" w:eastAsia="仿宋_GB2312" w:cs="仿宋_GB2312"/>
          <w:sz w:val="32"/>
          <w:szCs w:val="32"/>
        </w:rPr>
        <w:t>单位名称：</w:t>
      </w:r>
      <w:r>
        <w:rPr>
          <w:rFonts w:hint="eastAsia" w:ascii="Times New Roman" w:hAnsi="Times New Roman" w:eastAsia="仿宋_GB2312"/>
          <w:sz w:val="32"/>
          <w:szCs w:val="32"/>
          <w:u w:val="single"/>
        </w:rPr>
        <w:t xml:space="preserve">  </w:t>
      </w:r>
      <w:r>
        <w:rPr>
          <w:rFonts w:hint="eastAsia" w:ascii="Times New Roman" w:hAnsi="Times New Roman" w:eastAsia="仿宋_GB2312"/>
          <w:sz w:val="32"/>
          <w:szCs w:val="32"/>
          <w:u w:val="single"/>
          <w:lang w:val="en-US" w:eastAsia="zh-CN"/>
        </w:rPr>
        <w:t xml:space="preserve">                           </w:t>
      </w:r>
      <w:r>
        <w:rPr>
          <w:rFonts w:ascii="Times New Roman" w:hAnsi="Times New Roman" w:eastAsia="仿宋_GB2312"/>
          <w:sz w:val="32"/>
          <w:szCs w:val="32"/>
          <w:u w:val="single"/>
        </w:rPr>
        <w:t xml:space="preserve">     </w:t>
      </w:r>
      <w:r>
        <w:rPr>
          <w:rFonts w:hint="eastAsia" w:ascii="Times New Roman" w:hAnsi="Times New Roman" w:eastAsia="仿宋_GB2312"/>
          <w:sz w:val="32"/>
          <w:szCs w:val="32"/>
          <w:u w:val="single"/>
        </w:rPr>
        <w:t xml:space="preserve">    </w:t>
      </w:r>
    </w:p>
    <w:p>
      <w:pPr>
        <w:spacing w:line="560" w:lineRule="exact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纳税人识别号：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</w:rPr>
        <w:t xml:space="preserve"> 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                        </w:t>
      </w:r>
      <w:r>
        <w:rPr>
          <w:rFonts w:ascii="Times New Roman" w:hAnsi="Times New Roman" w:eastAsia="仿宋_GB2312"/>
          <w:sz w:val="32"/>
          <w:szCs w:val="32"/>
          <w:u w:val="single"/>
        </w:rPr>
        <w:t xml:space="preserve">         </w:t>
      </w:r>
    </w:p>
    <w:p>
      <w:pPr>
        <w:spacing w:line="560" w:lineRule="exact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Hans"/>
        </w:rPr>
        <w:t>被授权</w:t>
      </w:r>
      <w:r>
        <w:rPr>
          <w:rFonts w:hint="eastAsia" w:ascii="仿宋_GB2312" w:hAnsi="仿宋_GB2312" w:eastAsia="仿宋_GB2312" w:cs="仿宋_GB2312"/>
          <w:sz w:val="32"/>
          <w:szCs w:val="32"/>
        </w:rPr>
        <w:t>单位名称：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                        </w:t>
      </w:r>
      <w:r>
        <w:rPr>
          <w:rFonts w:hint="eastAsia" w:ascii="Times New Roman" w:hAnsi="Times New Roman" w:eastAsia="仿宋_GB2312"/>
          <w:sz w:val="32"/>
          <w:szCs w:val="32"/>
          <w:u w:val="single"/>
        </w:rPr>
        <w:t xml:space="preserve">         </w:t>
      </w:r>
    </w:p>
    <w:p>
      <w:pPr>
        <w:spacing w:line="560" w:lineRule="exact"/>
        <w:rPr>
          <w:rFonts w:ascii="仿宋_GB2312" w:hAnsi="仿宋_GB2312" w:eastAsia="仿宋_GB2312" w:cs="仿宋_GB231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纳税人识别号：</w:t>
      </w:r>
      <w:r>
        <w:rPr>
          <w:rFonts w:ascii="Times New Roman" w:hAnsi="Times New Roman" w:eastAsia="仿宋_GB2312"/>
          <w:sz w:val="32"/>
          <w:szCs w:val="32"/>
          <w:u w:val="single"/>
        </w:rPr>
        <w:t xml:space="preserve"> </w:t>
      </w:r>
      <w:r>
        <w:rPr>
          <w:rFonts w:hint="eastAsia" w:ascii="Times New Roman" w:hAnsi="Times New Roman" w:eastAsia="仿宋_GB2312"/>
          <w:sz w:val="32"/>
          <w:szCs w:val="32"/>
          <w:u w:val="single"/>
          <w:lang w:val="en-US" w:eastAsia="zh-CN"/>
        </w:rPr>
        <w:t xml:space="preserve">                           </w:t>
      </w:r>
      <w:r>
        <w:rPr>
          <w:rFonts w:ascii="Times New Roman" w:hAnsi="Times New Roman" w:eastAsia="仿宋_GB2312"/>
          <w:sz w:val="32"/>
          <w:szCs w:val="32"/>
          <w:u w:val="single"/>
        </w:rPr>
        <w:t xml:space="preserve">          </w:t>
      </w:r>
    </w:p>
    <w:p>
      <w:pPr>
        <w:overflowPunct w:val="0"/>
        <w:spacing w:line="560" w:lineRule="exact"/>
        <w:ind w:firstLine="640" w:firstLineChars="200"/>
        <w:rPr>
          <w:rFonts w:ascii="仿宋_GB2312" w:hAnsi="仿宋_GB2312" w:eastAsia="仿宋_GB2312" w:cs="仿宋_GB2312"/>
          <w:sz w:val="32"/>
          <w:szCs w:val="32"/>
          <w:lang w:eastAsia="zh-Hans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Hans"/>
        </w:rPr>
        <w:t>一、乐企自用</w:t>
      </w:r>
      <w:r>
        <w:rPr>
          <w:rFonts w:hint="eastAsia" w:ascii="仿宋_GB2312" w:hAnsi="仿宋_GB2312" w:eastAsia="仿宋_GB2312" w:cs="仿宋_GB2312"/>
          <w:sz w:val="32"/>
          <w:szCs w:val="32"/>
        </w:rPr>
        <w:t>直连</w:t>
      </w:r>
      <w:r>
        <w:rPr>
          <w:rFonts w:hint="eastAsia" w:ascii="仿宋_GB2312" w:hAnsi="仿宋_GB2312" w:eastAsia="仿宋_GB2312" w:cs="仿宋_GB2312"/>
          <w:sz w:val="32"/>
          <w:szCs w:val="32"/>
          <w:lang w:eastAsia="zh-Hans"/>
        </w:rPr>
        <w:t>单位授权其关联企业建设、管理平台，或授权不具关联关系的第三方企业承担建设责任，并承担因被授权单位的违法违规行为引发严重后果的连带责任。</w:t>
      </w:r>
    </w:p>
    <w:p>
      <w:pPr>
        <w:spacing w:line="560" w:lineRule="exact"/>
        <w:ind w:firstLine="640" w:firstLineChars="200"/>
        <w:rPr>
          <w:rFonts w:ascii="仿宋_GB2312" w:hAnsi="仿宋_GB2312" w:eastAsia="仿宋_GB2312" w:cs="仿宋_GB2312"/>
          <w:sz w:val="32"/>
          <w:szCs w:val="32"/>
          <w:lang w:eastAsia="zh-Hans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Hans"/>
        </w:rPr>
        <w:t>二、被授权单位应当能够统筹建设或改造乐企自用</w:t>
      </w:r>
      <w:r>
        <w:rPr>
          <w:rFonts w:hint="eastAsia" w:ascii="仿宋_GB2312" w:hAnsi="仿宋_GB2312" w:eastAsia="仿宋_GB2312" w:cs="仿宋_GB2312"/>
          <w:sz w:val="32"/>
          <w:szCs w:val="32"/>
        </w:rPr>
        <w:t>直连</w:t>
      </w:r>
      <w:r>
        <w:rPr>
          <w:rFonts w:hint="eastAsia" w:ascii="仿宋_GB2312" w:hAnsi="仿宋_GB2312" w:eastAsia="仿宋_GB2312" w:cs="仿宋_GB2312"/>
          <w:sz w:val="32"/>
          <w:szCs w:val="32"/>
          <w:lang w:eastAsia="zh-Hans"/>
        </w:rPr>
        <w:t>单位及使用单位的自有业务系统以适配乐企服务要求；被授权单位为授权单位的关联企业时，被授权单位可按照税务机关的服务管理要求，代表</w:t>
      </w:r>
      <w:r>
        <w:rPr>
          <w:rFonts w:hint="eastAsia" w:ascii="仿宋_GB2312" w:hAnsi="仿宋_GB2312" w:eastAsia="仿宋_GB2312" w:cs="仿宋_GB2312"/>
          <w:sz w:val="32"/>
          <w:szCs w:val="32"/>
        </w:rPr>
        <w:t>直连</w:t>
      </w:r>
      <w:r>
        <w:rPr>
          <w:rFonts w:hint="eastAsia" w:ascii="仿宋_GB2312" w:hAnsi="仿宋_GB2312" w:eastAsia="仿宋_GB2312" w:cs="仿宋_GB2312"/>
          <w:sz w:val="32"/>
          <w:szCs w:val="32"/>
          <w:lang w:eastAsia="zh-Hans"/>
        </w:rPr>
        <w:t>单位实施乐企对接，并</w:t>
      </w:r>
      <w:r>
        <w:rPr>
          <w:rFonts w:hint="eastAsia" w:ascii="仿宋_GB2312" w:hAnsi="仿宋_GB2312" w:eastAsia="仿宋_GB2312" w:cs="仿宋_GB2312"/>
          <w:sz w:val="32"/>
          <w:szCs w:val="32"/>
        </w:rPr>
        <w:t>负责</w:t>
      </w:r>
      <w:r>
        <w:rPr>
          <w:rFonts w:ascii="仿宋_GB2312" w:hAnsi="仿宋_GB2312" w:eastAsia="仿宋_GB2312" w:cs="仿宋_GB2312"/>
          <w:sz w:val="32"/>
          <w:szCs w:val="32"/>
          <w:lang w:eastAsia="zh-Hans"/>
        </w:rPr>
        <w:t>乐企自用</w:t>
      </w:r>
      <w:r>
        <w:rPr>
          <w:rFonts w:hint="eastAsia" w:ascii="仿宋_GB2312" w:hAnsi="仿宋_GB2312" w:eastAsia="仿宋_GB2312" w:cs="仿宋_GB2312"/>
          <w:sz w:val="32"/>
          <w:szCs w:val="32"/>
          <w:lang w:eastAsia="zh-Hans"/>
        </w:rPr>
        <w:t>的管理工作。</w:t>
      </w:r>
    </w:p>
    <w:p>
      <w:pPr>
        <w:spacing w:line="560" w:lineRule="exact"/>
        <w:ind w:firstLine="640" w:firstLineChars="200"/>
        <w:rPr>
          <w:rFonts w:ascii="仿宋_GB2312" w:hAnsi="仿宋_GB2312" w:eastAsia="仿宋_GB2312" w:cs="仿宋_GB2312"/>
          <w:sz w:val="32"/>
          <w:szCs w:val="32"/>
          <w:lang w:eastAsia="zh-Hans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Hans"/>
        </w:rPr>
        <w:t>三、</w:t>
      </w:r>
      <w:r>
        <w:rPr>
          <w:rFonts w:hint="eastAsia" w:ascii="仿宋_GB2312" w:hAnsi="仿宋_GB2312" w:eastAsia="仿宋_GB2312" w:cs="仿宋_GB2312"/>
          <w:sz w:val="32"/>
          <w:szCs w:val="32"/>
        </w:rPr>
        <w:t>被授权</w:t>
      </w:r>
      <w:r>
        <w:rPr>
          <w:rFonts w:hint="eastAsia" w:ascii="仿宋_GB2312" w:hAnsi="仿宋_GB2312" w:eastAsia="仿宋_GB2312" w:cs="仿宋_GB2312"/>
          <w:sz w:val="32"/>
          <w:szCs w:val="32"/>
          <w:lang w:eastAsia="zh-Hans"/>
        </w:rPr>
        <w:t>单位</w:t>
      </w:r>
      <w:r>
        <w:rPr>
          <w:rFonts w:hint="eastAsia" w:ascii="仿宋_GB2312" w:hAnsi="仿宋_GB2312" w:eastAsia="仿宋_GB2312" w:cs="仿宋_GB2312"/>
          <w:sz w:val="32"/>
          <w:szCs w:val="32"/>
        </w:rPr>
        <w:t>应当具备的</w:t>
      </w:r>
      <w:r>
        <w:rPr>
          <w:rFonts w:hint="eastAsia" w:ascii="仿宋_GB2312" w:hAnsi="仿宋_GB2312" w:eastAsia="仿宋_GB2312" w:cs="仿宋_GB2312"/>
          <w:sz w:val="32"/>
          <w:szCs w:val="32"/>
          <w:lang w:eastAsia="zh-Hans"/>
        </w:rPr>
        <w:t>条件</w:t>
      </w:r>
    </w:p>
    <w:p>
      <w:pPr>
        <w:spacing w:line="560" w:lineRule="exact"/>
        <w:ind w:firstLine="640" w:firstLineChars="200"/>
        <w:rPr>
          <w:rFonts w:ascii="仿宋_GB2312" w:hAnsi="仿宋_GB2312" w:eastAsia="仿宋_GB2312" w:cs="仿宋_GB2312"/>
          <w:sz w:val="32"/>
          <w:szCs w:val="32"/>
          <w:lang w:eastAsia="zh-Hans"/>
        </w:rPr>
      </w:pPr>
      <w:r>
        <w:rPr>
          <w:rFonts w:hint="eastAsia" w:ascii="楷体_GB2312" w:hAnsi="楷体_GB2312" w:eastAsia="楷体_GB2312" w:cs="楷体_GB2312"/>
          <w:sz w:val="32"/>
          <w:szCs w:val="32"/>
          <w:lang w:eastAsia="zh-Hans"/>
        </w:rPr>
        <w:t>（一）基本条件</w:t>
      </w:r>
    </w:p>
    <w:p>
      <w:pPr>
        <w:spacing w:line="560" w:lineRule="exact"/>
        <w:ind w:firstLine="640" w:firstLineChars="200"/>
        <w:rPr>
          <w:rFonts w:ascii="仿宋_GB2312" w:hAnsi="仿宋_GB2312" w:eastAsia="仿宋_GB2312" w:cs="仿宋_GB2312"/>
          <w:sz w:val="32"/>
          <w:szCs w:val="32"/>
          <w:lang w:eastAsia="zh-Hans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1</w:t>
      </w:r>
      <w:r>
        <w:rPr>
          <w:rFonts w:hint="eastAsia" w:ascii="仿宋_GB2312" w:hAnsi="仿宋_GB2312" w:eastAsia="仿宋_GB2312" w:cs="仿宋_GB2312"/>
          <w:sz w:val="32"/>
          <w:szCs w:val="32"/>
          <w:lang w:eastAsia="zh-Hans"/>
        </w:rPr>
        <w:t>.已纳入</w:t>
      </w:r>
      <w:r>
        <w:rPr>
          <w:rFonts w:hint="eastAsia" w:ascii="仿宋_GB2312" w:hAnsi="仿宋_GB2312" w:eastAsia="仿宋_GB2312" w:cs="仿宋_GB2312"/>
          <w:sz w:val="32"/>
          <w:szCs w:val="32"/>
        </w:rPr>
        <w:t>数电票</w:t>
      </w:r>
      <w:r>
        <w:rPr>
          <w:rFonts w:hint="eastAsia" w:ascii="仿宋_GB2312" w:hAnsi="仿宋_GB2312" w:eastAsia="仿宋_GB2312" w:cs="仿宋_GB2312"/>
          <w:sz w:val="32"/>
          <w:szCs w:val="32"/>
          <w:lang w:eastAsia="zh-Hans"/>
        </w:rPr>
        <w:t>开票试点纳税人范围；</w:t>
      </w:r>
    </w:p>
    <w:p>
      <w:pPr>
        <w:spacing w:line="560" w:lineRule="exact"/>
        <w:ind w:firstLine="640" w:firstLineChars="200"/>
        <w:rPr>
          <w:rFonts w:ascii="仿宋_GB2312" w:hAnsi="仿宋_GB2312" w:eastAsia="仿宋_GB2312" w:cs="仿宋_GB2312"/>
          <w:sz w:val="32"/>
          <w:szCs w:val="32"/>
          <w:lang w:eastAsia="zh-Hans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2</w:t>
      </w:r>
      <w:r>
        <w:rPr>
          <w:rFonts w:hint="eastAsia" w:ascii="仿宋_GB2312" w:hAnsi="仿宋_GB2312" w:eastAsia="仿宋_GB2312" w:cs="仿宋_GB2312"/>
          <w:sz w:val="32"/>
          <w:szCs w:val="32"/>
          <w:lang w:eastAsia="zh-Hans"/>
        </w:rPr>
        <w:t>.纳税信用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级别</w:t>
      </w:r>
      <w:r>
        <w:rPr>
          <w:rFonts w:hint="eastAsia" w:ascii="仿宋_GB2312" w:hAnsi="仿宋_GB2312" w:eastAsia="仿宋_GB2312" w:cs="仿宋_GB2312"/>
          <w:sz w:val="32"/>
          <w:szCs w:val="32"/>
          <w:lang w:eastAsia="zh-Hans"/>
        </w:rPr>
        <w:t>为A、B级（B级纳税人需要定期提供货物流、资金流、现金流的有关数据）；</w:t>
      </w:r>
    </w:p>
    <w:p>
      <w:pPr>
        <w:spacing w:line="560" w:lineRule="exact"/>
        <w:ind w:firstLine="640" w:firstLineChars="200"/>
        <w:rPr>
          <w:rFonts w:ascii="仿宋_GB2312" w:hAnsi="仿宋_GB2312" w:eastAsia="仿宋_GB2312" w:cs="仿宋_GB2312"/>
          <w:sz w:val="32"/>
          <w:szCs w:val="32"/>
          <w:lang w:eastAsia="zh-Hans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3</w:t>
      </w:r>
      <w:r>
        <w:rPr>
          <w:rFonts w:hint="eastAsia" w:ascii="仿宋_GB2312" w:hAnsi="仿宋_GB2312" w:eastAsia="仿宋_GB2312" w:cs="仿宋_GB2312"/>
          <w:sz w:val="32"/>
          <w:szCs w:val="32"/>
          <w:lang w:eastAsia="zh-Hans"/>
        </w:rPr>
        <w:t>.近三年内不存在税务机关确定的重大税收违法行为；</w:t>
      </w:r>
    </w:p>
    <w:p>
      <w:pPr>
        <w:overflowPunct w:val="0"/>
        <w:spacing w:line="560" w:lineRule="exact"/>
        <w:ind w:firstLine="640" w:firstLineChars="200"/>
        <w:rPr>
          <w:rFonts w:ascii="仿宋_GB2312" w:hAnsi="仿宋_GB2312" w:eastAsia="仿宋_GB2312" w:cs="仿宋_GB2312"/>
          <w:sz w:val="32"/>
          <w:szCs w:val="32"/>
          <w:lang w:eastAsia="zh-Hans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4</w:t>
      </w:r>
      <w:r>
        <w:rPr>
          <w:rFonts w:hint="eastAsia" w:ascii="仿宋_GB2312" w:hAnsi="仿宋_GB2312" w:eastAsia="仿宋_GB2312" w:cs="仿宋_GB2312"/>
          <w:sz w:val="32"/>
          <w:szCs w:val="32"/>
          <w:lang w:eastAsia="zh-Hans"/>
        </w:rPr>
        <w:t>.能按照税务机关要求依法提供相关涉税数据</w:t>
      </w:r>
      <w:r>
        <w:rPr>
          <w:rFonts w:hint="eastAsia" w:ascii="仿宋_GB2312" w:hAnsi="仿宋_GB2312" w:eastAsia="仿宋_GB2312" w:cs="仿宋_GB2312"/>
          <w:sz w:val="32"/>
          <w:szCs w:val="32"/>
        </w:rPr>
        <w:t>，包括但不限于使用单位身份信息、取酬账户信息、经营收入情况等，以及需要特别提供的货物流、资金流、现金流等其他涉税数据。</w:t>
      </w:r>
    </w:p>
    <w:p>
      <w:pPr>
        <w:spacing w:line="560" w:lineRule="exact"/>
        <w:ind w:firstLine="640" w:firstLineChars="200"/>
        <w:rPr>
          <w:rFonts w:ascii="仿宋_GB2312" w:hAnsi="仿宋_GB2312" w:eastAsia="仿宋_GB2312" w:cs="仿宋_GB2312"/>
          <w:sz w:val="32"/>
          <w:szCs w:val="32"/>
          <w:lang w:eastAsia="zh-Hans"/>
        </w:rPr>
      </w:pPr>
      <w:r>
        <w:rPr>
          <w:rFonts w:hint="eastAsia" w:ascii="楷体_GB2312" w:hAnsi="楷体_GB2312" w:eastAsia="楷体_GB2312" w:cs="楷体_GB2312"/>
          <w:sz w:val="32"/>
          <w:szCs w:val="32"/>
          <w:lang w:eastAsia="zh-Hans"/>
        </w:rPr>
        <w:t>（二）技术和安全条件</w:t>
      </w:r>
    </w:p>
    <w:p>
      <w:pPr>
        <w:spacing w:line="560" w:lineRule="exact"/>
        <w:ind w:firstLine="640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1.有较强的信息化建设、服务、运维能力，企业自有信息系统具有软件著作权、使用权，或相关授权；</w:t>
      </w:r>
    </w:p>
    <w:p>
      <w:pPr>
        <w:overflowPunct w:val="0"/>
        <w:spacing w:line="560" w:lineRule="exact"/>
        <w:ind w:firstLine="640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2.</w:t>
      </w:r>
      <w:r>
        <w:rPr>
          <w:rFonts w:ascii="仿宋_GB2312" w:hAnsi="仿宋_GB2312" w:eastAsia="仿宋_GB2312" w:cs="仿宋_GB2312"/>
          <w:sz w:val="32"/>
          <w:szCs w:val="32"/>
        </w:rPr>
        <w:t>乐企自用</w:t>
      </w:r>
      <w:r>
        <w:rPr>
          <w:rFonts w:hint="eastAsia" w:ascii="仿宋_GB2312" w:hAnsi="仿宋_GB2312" w:eastAsia="仿宋_GB2312" w:cs="仿宋_GB2312"/>
          <w:sz w:val="32"/>
          <w:szCs w:val="32"/>
        </w:rPr>
        <w:t>必须按照税务机关的要求保存数据并内嵌风险控制规则，同时向税务机关开放接口，供税务机关在线审计；</w:t>
      </w:r>
    </w:p>
    <w:p>
      <w:pPr>
        <w:spacing w:line="560" w:lineRule="exact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3.遵守网络安全、数据安全相关规定，遵循税务机关相关管理要求，如实向税务机关报告重大变化和使用单位情况，并承担因使用单位的违法违规行为引发严重后果的连带责任。</w:t>
      </w:r>
    </w:p>
    <w:p>
      <w:pPr>
        <w:pStyle w:val="2"/>
        <w:spacing w:line="560" w:lineRule="exact"/>
        <w:ind w:left="0" w:leftChars="0"/>
        <w:rPr>
          <w:rFonts w:hint="eastAsia" w:ascii="仿宋_GB2312" w:hAnsi="仿宋_GB2312" w:eastAsia="仿宋_GB2312" w:cs="仿宋_GB2312"/>
        </w:rPr>
      </w:pPr>
    </w:p>
    <w:p>
      <w:pPr>
        <w:pStyle w:val="2"/>
        <w:spacing w:line="560" w:lineRule="exact"/>
        <w:ind w:left="0" w:leftChars="0"/>
        <w:rPr>
          <w:rFonts w:hint="eastAsia" w:ascii="仿宋_GB2312" w:hAnsi="仿宋_GB2312" w:eastAsia="仿宋_GB2312" w:cs="仿宋_GB2312"/>
        </w:rPr>
      </w:pPr>
    </w:p>
    <w:p>
      <w:pPr>
        <w:spacing w:line="560" w:lineRule="exact"/>
        <w:ind w:firstLine="2560" w:firstLineChars="8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Hans"/>
        </w:rPr>
        <w:t>授权</w:t>
      </w:r>
      <w:r>
        <w:rPr>
          <w:rFonts w:hint="eastAsia" w:ascii="仿宋_GB2312" w:hAnsi="仿宋_GB2312" w:eastAsia="仿宋_GB2312" w:cs="仿宋_GB2312"/>
          <w:sz w:val="32"/>
          <w:szCs w:val="32"/>
        </w:rPr>
        <w:t>单位：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</w:rPr>
        <w:t xml:space="preserve">                </w:t>
      </w:r>
      <w:r>
        <w:rPr>
          <w:rFonts w:hint="eastAsia" w:ascii="仿宋_GB2312" w:hAnsi="仿宋_GB2312" w:eastAsia="仿宋_GB2312" w:cs="仿宋_GB2312"/>
          <w:sz w:val="32"/>
          <w:szCs w:val="32"/>
        </w:rPr>
        <w:t>(盖章)</w:t>
      </w:r>
    </w:p>
    <w:p>
      <w:pPr>
        <w:spacing w:line="560" w:lineRule="exact"/>
        <w:ind w:firstLine="2560" w:firstLineChars="8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法定代表人：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</w:rPr>
        <w:t xml:space="preserve">              </w:t>
      </w:r>
      <w:r>
        <w:rPr>
          <w:rFonts w:hint="eastAsia" w:ascii="仿宋_GB2312" w:hAnsi="仿宋_GB2312" w:eastAsia="仿宋_GB2312" w:cs="仿宋_GB2312"/>
          <w:sz w:val="32"/>
          <w:szCs w:val="32"/>
        </w:rPr>
        <w:t>(签名)</w:t>
      </w:r>
    </w:p>
    <w:p>
      <w:pPr>
        <w:pStyle w:val="2"/>
        <w:spacing w:line="560" w:lineRule="exact"/>
        <w:ind w:left="0" w:leftChars="0" w:firstLine="4480" w:firstLineChars="14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ascii="Times New Roman" w:hAnsi="Times New Roman" w:eastAsia="仿宋_GB2312"/>
          <w:sz w:val="32"/>
          <w:szCs w:val="32"/>
          <w:u w:val="single"/>
        </w:rPr>
        <w:t xml:space="preserve">    </w:t>
      </w:r>
      <w:r>
        <w:rPr>
          <w:rFonts w:ascii="Times New Roman" w:hAnsi="Times New Roman" w:eastAsia="仿宋_GB2312"/>
          <w:sz w:val="32"/>
          <w:szCs w:val="32"/>
        </w:rPr>
        <w:t>年</w:t>
      </w:r>
      <w:r>
        <w:rPr>
          <w:rFonts w:ascii="Times New Roman" w:hAnsi="Times New Roman" w:eastAsia="仿宋_GB2312"/>
          <w:sz w:val="32"/>
          <w:szCs w:val="32"/>
          <w:u w:val="single"/>
        </w:rPr>
        <w:t xml:space="preserve">   </w:t>
      </w:r>
      <w:r>
        <w:rPr>
          <w:rFonts w:ascii="Times New Roman" w:hAnsi="Times New Roman" w:eastAsia="仿宋_GB2312"/>
          <w:sz w:val="32"/>
          <w:szCs w:val="32"/>
        </w:rPr>
        <w:t>月</w:t>
      </w:r>
      <w:r>
        <w:rPr>
          <w:rFonts w:ascii="Times New Roman" w:hAnsi="Times New Roman" w:eastAsia="仿宋_GB2312"/>
          <w:sz w:val="32"/>
          <w:szCs w:val="32"/>
          <w:u w:val="single"/>
        </w:rPr>
        <w:t xml:space="preserve">   </w:t>
      </w:r>
      <w:r>
        <w:rPr>
          <w:rFonts w:ascii="Times New Roman" w:hAnsi="Times New Roman" w:eastAsia="仿宋_GB2312"/>
          <w:sz w:val="32"/>
          <w:szCs w:val="32"/>
        </w:rPr>
        <w:t xml:space="preserve">日 </w:t>
      </w:r>
    </w:p>
    <w:p>
      <w:pPr>
        <w:pStyle w:val="2"/>
        <w:spacing w:line="560" w:lineRule="exact"/>
        <w:ind w:left="0" w:leftChars="0"/>
        <w:rPr>
          <w:rFonts w:ascii="Times New Roman" w:hAnsi="Times New Roman" w:eastAsia="仿宋_GB2312"/>
          <w:sz w:val="32"/>
          <w:szCs w:val="32"/>
        </w:rPr>
      </w:pPr>
    </w:p>
    <w:p>
      <w:pPr>
        <w:pStyle w:val="2"/>
        <w:spacing w:line="560" w:lineRule="exact"/>
        <w:ind w:left="0" w:leftChars="0"/>
        <w:rPr>
          <w:rFonts w:hint="eastAsia" w:ascii="仿宋_GB2312" w:hAnsi="仿宋_GB2312" w:eastAsia="仿宋_GB2312" w:cs="仿宋_GB2312"/>
          <w:sz w:val="32"/>
          <w:szCs w:val="32"/>
        </w:rPr>
      </w:pPr>
    </w:p>
    <w:p>
      <w:pPr>
        <w:pStyle w:val="2"/>
        <w:spacing w:line="560" w:lineRule="exact"/>
        <w:ind w:left="0" w:leftChars="0"/>
        <w:rPr>
          <w:rFonts w:hint="eastAsia" w:ascii="仿宋_GB2312" w:hAnsi="仿宋_GB2312" w:eastAsia="仿宋_GB2312" w:cs="仿宋_GB2312"/>
          <w:sz w:val="32"/>
          <w:szCs w:val="32"/>
        </w:rPr>
      </w:pPr>
    </w:p>
    <w:p>
      <w:pPr>
        <w:spacing w:line="560" w:lineRule="exact"/>
        <w:ind w:firstLine="2560" w:firstLineChars="8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Hans"/>
        </w:rPr>
        <w:t>被授权</w:t>
      </w:r>
      <w:r>
        <w:rPr>
          <w:rFonts w:hint="eastAsia" w:ascii="仿宋_GB2312" w:hAnsi="仿宋_GB2312" w:eastAsia="仿宋_GB2312" w:cs="仿宋_GB2312"/>
          <w:sz w:val="32"/>
          <w:szCs w:val="32"/>
        </w:rPr>
        <w:t>单位：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</w:rPr>
        <w:t xml:space="preserve">              </w:t>
      </w:r>
      <w:r>
        <w:rPr>
          <w:rFonts w:hint="eastAsia" w:ascii="仿宋_GB2312" w:hAnsi="仿宋_GB2312" w:eastAsia="仿宋_GB2312" w:cs="仿宋_GB2312"/>
          <w:sz w:val="32"/>
          <w:szCs w:val="32"/>
        </w:rPr>
        <w:t>(盖章)</w:t>
      </w:r>
    </w:p>
    <w:p>
      <w:pPr>
        <w:spacing w:line="560" w:lineRule="exact"/>
        <w:ind w:firstLine="2560" w:firstLineChars="8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法定代表人：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</w:rPr>
        <w:t xml:space="preserve">              </w:t>
      </w:r>
      <w:r>
        <w:rPr>
          <w:rFonts w:hint="eastAsia" w:ascii="仿宋_GB2312" w:hAnsi="仿宋_GB2312" w:eastAsia="仿宋_GB2312" w:cs="仿宋_GB2312"/>
          <w:sz w:val="32"/>
          <w:szCs w:val="32"/>
        </w:rPr>
        <w:t>(签名)</w:t>
      </w:r>
    </w:p>
    <w:p>
      <w:pPr>
        <w:spacing w:line="560" w:lineRule="exact"/>
        <w:ind w:firstLine="4480" w:firstLineChars="1400"/>
        <w:jc w:val="left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ascii="Times New Roman" w:hAnsi="Times New Roman" w:eastAsia="仿宋_GB2312"/>
          <w:sz w:val="32"/>
          <w:szCs w:val="32"/>
          <w:u w:val="single"/>
        </w:rPr>
        <w:t xml:space="preserve">    </w:t>
      </w:r>
      <w:r>
        <w:rPr>
          <w:rFonts w:ascii="Times New Roman" w:hAnsi="Times New Roman" w:eastAsia="仿宋_GB2312"/>
          <w:sz w:val="32"/>
          <w:szCs w:val="32"/>
        </w:rPr>
        <w:t>年</w:t>
      </w:r>
      <w:r>
        <w:rPr>
          <w:rFonts w:ascii="Times New Roman" w:hAnsi="Times New Roman" w:eastAsia="仿宋_GB2312"/>
          <w:sz w:val="32"/>
          <w:szCs w:val="32"/>
          <w:u w:val="single"/>
        </w:rPr>
        <w:t xml:space="preserve">   </w:t>
      </w:r>
      <w:r>
        <w:rPr>
          <w:rFonts w:ascii="Times New Roman" w:hAnsi="Times New Roman" w:eastAsia="仿宋_GB2312"/>
          <w:sz w:val="32"/>
          <w:szCs w:val="32"/>
        </w:rPr>
        <w:t>月</w:t>
      </w:r>
      <w:r>
        <w:rPr>
          <w:rFonts w:ascii="Times New Roman" w:hAnsi="Times New Roman" w:eastAsia="仿宋_GB2312"/>
          <w:sz w:val="32"/>
          <w:szCs w:val="32"/>
          <w:u w:val="single"/>
        </w:rPr>
        <w:t xml:space="preserve">   </w:t>
      </w:r>
      <w:r>
        <w:rPr>
          <w:rFonts w:ascii="Times New Roman" w:hAnsi="Times New Roman" w:eastAsia="仿宋_GB2312"/>
          <w:sz w:val="32"/>
          <w:szCs w:val="32"/>
        </w:rPr>
        <w:t xml:space="preserve">日 </w:t>
      </w:r>
    </w:p>
    <w:p>
      <w:pPr>
        <w:spacing w:line="560" w:lineRule="exact"/>
      </w:pPr>
    </w:p>
    <w:p/>
    <w:sectPr>
      <w:pgSz w:w="11906" w:h="16838"/>
      <w:pgMar w:top="1440" w:right="1800" w:bottom="1440" w:left="1800" w:header="851" w:footer="992" w:gutter="0"/>
      <w:pgNumType w:fmt="decimal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_GBK">
    <w:altName w:val="微软雅黑"/>
    <w:panose1 w:val="02000000000000000000"/>
    <w:charset w:val="86"/>
    <w:family w:val="auto"/>
    <w:pitch w:val="default"/>
    <w:sig w:usb0="00000000" w:usb1="00000000" w:usb2="00000000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2010601030101010101"/>
    <w:charset w:val="86"/>
    <w:family w:val="script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4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C8805DE"/>
    <w:rsid w:val="0C8805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qFormat="1"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paragraph" w:styleId="3">
    <w:name w:val="heading 1"/>
    <w:basedOn w:val="1"/>
    <w:next w:val="1"/>
    <w:qFormat/>
    <w:uiPriority w:val="0"/>
    <w:pPr>
      <w:keepNext/>
      <w:keepLines/>
      <w:spacing w:before="0" w:after="0" w:line="600" w:lineRule="exact"/>
      <w:jc w:val="center"/>
      <w:outlineLvl w:val="0"/>
    </w:pPr>
    <w:rPr>
      <w:rFonts w:eastAsia="方正小标宋_GBK"/>
      <w:kern w:val="44"/>
      <w:sz w:val="36"/>
    </w:rPr>
  </w:style>
  <w:style w:type="character" w:default="1" w:styleId="7">
    <w:name w:val="Default Paragraph Font"/>
    <w:semiHidden/>
    <w:uiPriority w:val="0"/>
  </w:style>
  <w:style w:type="table" w:default="1" w:styleId="6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Indent 2"/>
    <w:basedOn w:val="1"/>
    <w:qFormat/>
    <w:uiPriority w:val="0"/>
    <w:pPr>
      <w:spacing w:line="480" w:lineRule="auto"/>
      <w:ind w:left="420" w:leftChars="200"/>
    </w:pPr>
  </w:style>
  <w:style w:type="paragraph" w:styleId="4">
    <w:name w:val="Body Text"/>
    <w:basedOn w:val="1"/>
    <w:next w:val="1"/>
    <w:qFormat/>
    <w:uiPriority w:val="0"/>
    <w:pPr>
      <w:adjustRightInd w:val="0"/>
      <w:snapToGrid w:val="0"/>
      <w:spacing w:line="580" w:lineRule="exact"/>
      <w:ind w:firstLine="880" w:firstLineChars="200"/>
    </w:pPr>
    <w:rPr>
      <w:rFonts w:ascii="仿宋_GB2312" w:hAnsi="仿宋_GB2312" w:eastAsia="仿宋_GB2312"/>
      <w:sz w:val="32"/>
      <w:szCs w:val="22"/>
    </w:rPr>
  </w:style>
  <w:style w:type="paragraph" w:styleId="5">
    <w:name w:val="footer"/>
    <w:basedOn w:val="1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Office_11.8.2.10158_F1E327BC-269C-435d-A152-05C5408002CA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2023-11-03T03:47:00Z</dcterms:created>
  <dc:creator>张兴忠</dc:creator>
  <cp:lastModifiedBy>张兴忠</cp:lastModifiedBy>
  <dcterms:modified xsi:type="dcterms:W3CDTF">2023-11-03T03:48:23Z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2052-11.8.2.10158</vt:lpwstr>
  </property>
</Properties>
</file>