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国家重大水利工程建设基金征收标准</w:t>
      </w:r>
    </w:p>
    <w:bookmarkEnd w:id="0"/>
    <w:p>
      <w:pPr>
        <w:jc w:val="right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单位：厘/千瓦时</w:t>
      </w:r>
    </w:p>
    <w:tbl>
      <w:tblPr>
        <w:tblStyle w:val="4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108" w:type="dxa"/>
          <w:right w:w="108" w:type="dxa"/>
        </w:tblCellMar>
      </w:tblPr>
      <w:tblGrid>
        <w:gridCol w:w="4261"/>
        <w:gridCol w:w="4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trHeight w:val="429" w:hRule="atLeast"/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省（区、市）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征收标准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北京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1.96875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天津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1.96875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上海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3.915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河北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1.96875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山西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1.96875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内蒙古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1.125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辽宁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1.125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吉林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1.125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黑龙江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1.125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江苏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4.1934375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浙江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4.03875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安徽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3.63375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福建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1.96875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江西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1.5525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山东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1.96875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河北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3.189375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湖北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湖南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1.0546875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广东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1.96875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广西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1.125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海南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1.125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重庆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1.96875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四川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1.96875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贵州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1.125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云南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1.125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陕西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1.125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甘肃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1.125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青海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1.125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宁夏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1.125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left w:w="108" w:type="dxa"/>
            <w:right w:w="108" w:type="dxa"/>
          </w:tblCellMar>
        </w:tblPrEx>
        <w:trPr>
          <w:jc w:val="center"/>
        </w:trPr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新疆</w:t>
            </w:r>
          </w:p>
        </w:tc>
        <w:tc>
          <w:tcPr>
            <w:tcW w:w="426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vertAlign w:val="baseline"/>
                <w:lang w:val="en-US" w:eastAsia="zh-CN"/>
              </w:rPr>
              <w:t>1.125</w:t>
            </w:r>
          </w:p>
        </w:tc>
      </w:tr>
    </w:tbl>
    <w:p>
      <w:pPr>
        <w:jc w:val="center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</w:p>
    <w:p>
      <w:pPr>
        <w:jc w:val="center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</w:p>
    <w:p>
      <w:pPr>
        <w:jc w:val="center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</w:p>
    <w:p>
      <w:pPr>
        <w:jc w:val="center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</w:p>
    <w:p>
      <w:pPr>
        <w:jc w:val="center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</w:p>
    <w:p>
      <w:pPr>
        <w:jc w:val="both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B761B4"/>
    <w:rsid w:val="43B761B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2019-06-20T07:34:00Z</dcterms:created>
  <dc:creator> </dc:creator>
  <cp:lastModifiedBy> </cp:lastModifiedBy>
  <dcterms:modified xsi:type="dcterms:W3CDTF">2019-06-20T08:42:45Z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