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068903">
      <w:pPr>
        <w:keepNext w:val="0"/>
        <w:keepLines w:val="0"/>
        <w:pageBreakBefore w:val="0"/>
        <w:kinsoku/>
        <w:wordWrap/>
        <w:topLinePunct w:val="0"/>
        <w:bidi w:val="0"/>
        <w:spacing w:line="560" w:lineRule="exact"/>
        <w:jc w:val="left"/>
        <w:rPr>
          <w:rFonts w:hint="default" w:ascii="黑体" w:hAnsi="黑体" w:eastAsia="黑体" w:cs="黑体"/>
          <w:color w:val="auto"/>
          <w:sz w:val="32"/>
          <w:szCs w:val="32"/>
          <w:lang w:val="en-US" w:eastAsia="zh-CN"/>
        </w:rPr>
      </w:pPr>
      <w:r>
        <w:rPr>
          <w:rFonts w:hint="eastAsia" w:ascii="黑体" w:hAnsi="黑体" w:eastAsia="黑体" w:cs="黑体"/>
          <w:color w:val="auto"/>
          <w:sz w:val="32"/>
          <w:szCs w:val="32"/>
          <w:lang w:eastAsia="zh-CN"/>
        </w:rPr>
        <w:t>附件</w:t>
      </w:r>
      <w:r>
        <w:rPr>
          <w:rFonts w:hint="eastAsia" w:ascii="黑体" w:hAnsi="黑体" w:eastAsia="黑体" w:cs="黑体"/>
          <w:color w:val="auto"/>
          <w:sz w:val="32"/>
          <w:szCs w:val="32"/>
          <w:lang w:val="en-US" w:eastAsia="zh-CN"/>
        </w:rPr>
        <w:t>5</w:t>
      </w:r>
    </w:p>
    <w:p w14:paraId="78852A11">
      <w:pPr>
        <w:keepNext w:val="0"/>
        <w:keepLines w:val="0"/>
        <w:pageBreakBefore w:val="0"/>
        <w:kinsoku/>
        <w:wordWrap/>
        <w:topLinePunct w:val="0"/>
        <w:bidi w:val="0"/>
        <w:spacing w:line="560" w:lineRule="exact"/>
        <w:jc w:val="left"/>
        <w:rPr>
          <w:rFonts w:hint="eastAsia" w:ascii="黑体" w:hAnsi="黑体" w:eastAsia="黑体" w:cs="黑体"/>
          <w:color w:val="auto"/>
          <w:sz w:val="32"/>
          <w:szCs w:val="32"/>
          <w:lang w:val="en-US" w:eastAsia="zh-CN"/>
        </w:rPr>
      </w:pPr>
    </w:p>
    <w:p w14:paraId="1B43793B">
      <w:pPr>
        <w:keepNext w:val="0"/>
        <w:keepLines w:val="0"/>
        <w:pageBreakBefore w:val="0"/>
        <w:kinsoku/>
        <w:wordWrap/>
        <w:topLinePunct w:val="0"/>
        <w:bidi w:val="0"/>
        <w:spacing w:line="560" w:lineRule="exact"/>
        <w:jc w:val="left"/>
        <w:rPr>
          <w:rFonts w:hint="eastAsia" w:ascii="黑体" w:hAnsi="黑体" w:eastAsia="黑体" w:cs="黑体"/>
          <w:color w:val="auto"/>
          <w:sz w:val="32"/>
          <w:szCs w:val="32"/>
          <w:lang w:val="en-US" w:eastAsia="zh-CN"/>
        </w:rPr>
      </w:pPr>
    </w:p>
    <w:p w14:paraId="7A8F68C0">
      <w:pPr>
        <w:keepNext w:val="0"/>
        <w:keepLines w:val="0"/>
        <w:pageBreakBefore w:val="0"/>
        <w:kinsoku/>
        <w:wordWrap/>
        <w:topLinePunct w:val="0"/>
        <w:bidi w:val="0"/>
        <w:spacing w:line="560" w:lineRule="exact"/>
        <w:jc w:val="center"/>
        <w:rPr>
          <w:rFonts w:hint="eastAsia" w:ascii="方正小标宋简体" w:eastAsia="方正小标宋简体" w:cs="方正小标宋简体"/>
          <w:color w:val="auto"/>
          <w:sz w:val="44"/>
          <w:szCs w:val="44"/>
          <w:lang w:eastAsia="zh-CN"/>
        </w:rPr>
      </w:pPr>
      <w:r>
        <w:rPr>
          <w:rFonts w:hint="eastAsia" w:ascii="方正小标宋简体" w:eastAsia="方正小标宋简体" w:cs="方正小标宋简体"/>
          <w:color w:val="auto"/>
          <w:sz w:val="44"/>
          <w:szCs w:val="44"/>
        </w:rPr>
        <w:t>第</w:t>
      </w:r>
      <w:r>
        <w:rPr>
          <w:rFonts w:hint="eastAsia" w:ascii="方正小标宋简体" w:eastAsia="方正小标宋简体" w:cs="方正小标宋简体"/>
          <w:color w:val="auto"/>
          <w:sz w:val="44"/>
          <w:szCs w:val="44"/>
          <w:lang w:eastAsia="zh-CN"/>
        </w:rPr>
        <w:t>十</w:t>
      </w:r>
      <w:r>
        <w:rPr>
          <w:rFonts w:hint="eastAsia" w:ascii="方正小标宋简体" w:eastAsia="方正小标宋简体" w:cs="方正小标宋简体"/>
          <w:color w:val="auto"/>
          <w:sz w:val="44"/>
          <w:szCs w:val="44"/>
        </w:rPr>
        <w:t>批全国税务领军人才学员选拔</w:t>
      </w:r>
    </w:p>
    <w:p w14:paraId="421E1FA5">
      <w:pPr>
        <w:keepNext w:val="0"/>
        <w:keepLines w:val="0"/>
        <w:pageBreakBefore w:val="0"/>
        <w:kinsoku/>
        <w:wordWrap/>
        <w:topLinePunct w:val="0"/>
        <w:bidi w:val="0"/>
        <w:spacing w:line="560" w:lineRule="exact"/>
        <w:jc w:val="both"/>
        <w:rPr>
          <w:rFonts w:hint="eastAsia" w:ascii="方正小标宋简体" w:eastAsia="方正小标宋简体" w:cs="方正小标宋简体"/>
          <w:color w:val="auto"/>
          <w:spacing w:val="40"/>
          <w:sz w:val="72"/>
          <w:szCs w:val="72"/>
        </w:rPr>
      </w:pPr>
    </w:p>
    <w:p w14:paraId="5F84591C">
      <w:pPr>
        <w:keepNext w:val="0"/>
        <w:keepLines w:val="0"/>
        <w:pageBreakBefore w:val="0"/>
        <w:kinsoku/>
        <w:wordWrap/>
        <w:topLinePunct w:val="0"/>
        <w:bidi w:val="0"/>
        <w:spacing w:line="360" w:lineRule="auto"/>
        <w:jc w:val="center"/>
        <w:rPr>
          <w:rFonts w:hint="eastAsia" w:ascii="方正小标宋简体" w:eastAsia="方正小标宋简体" w:cs="方正小标宋简体"/>
          <w:color w:val="auto"/>
          <w:spacing w:val="40"/>
          <w:sz w:val="72"/>
          <w:szCs w:val="72"/>
        </w:rPr>
      </w:pPr>
    </w:p>
    <w:p w14:paraId="48F72775">
      <w:pPr>
        <w:keepNext w:val="0"/>
        <w:keepLines w:val="0"/>
        <w:pageBreakBefore w:val="0"/>
        <w:kinsoku/>
        <w:wordWrap/>
        <w:topLinePunct w:val="0"/>
        <w:bidi w:val="0"/>
        <w:spacing w:line="360" w:lineRule="auto"/>
        <w:jc w:val="center"/>
        <w:rPr>
          <w:rFonts w:hint="eastAsia" w:ascii="方正小标宋简体" w:eastAsia="方正小标宋简体" w:cs="方正小标宋简体"/>
          <w:color w:val="auto"/>
          <w:spacing w:val="40"/>
          <w:sz w:val="72"/>
          <w:szCs w:val="72"/>
        </w:rPr>
      </w:pPr>
      <w:r>
        <w:rPr>
          <w:rFonts w:hint="eastAsia" w:ascii="方正小标宋简体" w:eastAsia="方正小标宋简体" w:cs="方正小标宋简体"/>
          <w:color w:val="auto"/>
          <w:spacing w:val="40"/>
          <w:sz w:val="72"/>
          <w:szCs w:val="72"/>
        </w:rPr>
        <w:t>考试大纲</w:t>
      </w:r>
    </w:p>
    <w:p w14:paraId="62AEF4EB">
      <w:pPr>
        <w:keepNext w:val="0"/>
        <w:keepLines w:val="0"/>
        <w:pageBreakBefore w:val="0"/>
        <w:kinsoku/>
        <w:wordWrap/>
        <w:topLinePunct w:val="0"/>
        <w:bidi w:val="0"/>
        <w:spacing w:line="560" w:lineRule="exact"/>
        <w:rPr>
          <w:color w:val="auto"/>
          <w:sz w:val="32"/>
          <w:szCs w:val="32"/>
        </w:rPr>
      </w:pPr>
    </w:p>
    <w:p w14:paraId="72F8AF0E">
      <w:pPr>
        <w:keepNext w:val="0"/>
        <w:keepLines w:val="0"/>
        <w:pageBreakBefore w:val="0"/>
        <w:kinsoku/>
        <w:wordWrap/>
        <w:topLinePunct w:val="0"/>
        <w:bidi w:val="0"/>
        <w:spacing w:line="560" w:lineRule="exact"/>
        <w:rPr>
          <w:color w:val="auto"/>
          <w:sz w:val="32"/>
          <w:szCs w:val="32"/>
        </w:rPr>
      </w:pPr>
    </w:p>
    <w:p w14:paraId="108C9BFF">
      <w:pPr>
        <w:keepNext w:val="0"/>
        <w:keepLines w:val="0"/>
        <w:pageBreakBefore w:val="0"/>
        <w:kinsoku/>
        <w:wordWrap/>
        <w:topLinePunct w:val="0"/>
        <w:bidi w:val="0"/>
        <w:spacing w:line="560" w:lineRule="exact"/>
        <w:rPr>
          <w:color w:val="auto"/>
          <w:sz w:val="32"/>
          <w:szCs w:val="32"/>
        </w:rPr>
      </w:pPr>
    </w:p>
    <w:p w14:paraId="6EA54323">
      <w:pPr>
        <w:keepNext w:val="0"/>
        <w:keepLines w:val="0"/>
        <w:pageBreakBefore w:val="0"/>
        <w:kinsoku/>
        <w:wordWrap/>
        <w:topLinePunct w:val="0"/>
        <w:bidi w:val="0"/>
        <w:spacing w:line="560" w:lineRule="exact"/>
        <w:rPr>
          <w:color w:val="auto"/>
          <w:sz w:val="32"/>
          <w:szCs w:val="32"/>
        </w:rPr>
      </w:pPr>
    </w:p>
    <w:p w14:paraId="01A2B7E1">
      <w:pPr>
        <w:keepNext w:val="0"/>
        <w:keepLines w:val="0"/>
        <w:pageBreakBefore w:val="0"/>
        <w:kinsoku/>
        <w:wordWrap/>
        <w:topLinePunct w:val="0"/>
        <w:bidi w:val="0"/>
        <w:spacing w:line="560" w:lineRule="exact"/>
        <w:rPr>
          <w:color w:val="auto"/>
          <w:sz w:val="32"/>
          <w:szCs w:val="32"/>
        </w:rPr>
      </w:pPr>
    </w:p>
    <w:p w14:paraId="7E5B1D96">
      <w:pPr>
        <w:pStyle w:val="2"/>
        <w:rPr>
          <w:color w:val="auto"/>
          <w:sz w:val="32"/>
          <w:szCs w:val="32"/>
        </w:rPr>
      </w:pPr>
    </w:p>
    <w:p w14:paraId="3DF9C0ED"/>
    <w:p w14:paraId="09149FA0">
      <w:pPr>
        <w:keepNext w:val="0"/>
        <w:keepLines w:val="0"/>
        <w:pageBreakBefore w:val="0"/>
        <w:kinsoku/>
        <w:wordWrap/>
        <w:topLinePunct w:val="0"/>
        <w:bidi w:val="0"/>
        <w:spacing w:line="560" w:lineRule="exact"/>
        <w:rPr>
          <w:color w:val="auto"/>
          <w:sz w:val="32"/>
          <w:szCs w:val="32"/>
        </w:rPr>
      </w:pPr>
    </w:p>
    <w:p w14:paraId="79F76792">
      <w:pPr>
        <w:keepNext w:val="0"/>
        <w:keepLines w:val="0"/>
        <w:pageBreakBefore w:val="0"/>
        <w:kinsoku/>
        <w:wordWrap/>
        <w:topLinePunct w:val="0"/>
        <w:bidi w:val="0"/>
        <w:spacing w:line="560" w:lineRule="exact"/>
        <w:rPr>
          <w:color w:val="auto"/>
          <w:sz w:val="32"/>
          <w:szCs w:val="32"/>
        </w:rPr>
      </w:pPr>
    </w:p>
    <w:p w14:paraId="33A016E0">
      <w:pPr>
        <w:keepNext w:val="0"/>
        <w:keepLines w:val="0"/>
        <w:pageBreakBefore w:val="0"/>
        <w:kinsoku/>
        <w:wordWrap/>
        <w:topLinePunct w:val="0"/>
        <w:bidi w:val="0"/>
        <w:spacing w:line="560" w:lineRule="exact"/>
        <w:jc w:val="both"/>
        <w:rPr>
          <w:rFonts w:hint="eastAsia" w:ascii="方正小标宋简体" w:hAnsi="宋体" w:eastAsia="方正小标宋简体" w:cs="方正小标宋简体"/>
          <w:color w:val="auto"/>
          <w:sz w:val="32"/>
          <w:szCs w:val="32"/>
        </w:rPr>
      </w:pPr>
    </w:p>
    <w:p w14:paraId="2A7F0404">
      <w:pPr>
        <w:keepNext w:val="0"/>
        <w:keepLines w:val="0"/>
        <w:pageBreakBefore w:val="0"/>
        <w:kinsoku/>
        <w:wordWrap/>
        <w:topLinePunct w:val="0"/>
        <w:bidi w:val="0"/>
        <w:spacing w:line="560" w:lineRule="exact"/>
        <w:jc w:val="center"/>
        <w:rPr>
          <w:rFonts w:hint="eastAsia" w:ascii="方正小标宋简体" w:hAnsi="宋体" w:eastAsia="方正小标宋简体" w:cs="方正小标宋简体"/>
          <w:color w:val="auto"/>
          <w:sz w:val="32"/>
          <w:szCs w:val="32"/>
        </w:rPr>
      </w:pPr>
    </w:p>
    <w:p w14:paraId="169033E1">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ascii="方正小标宋简体" w:eastAsia="方正小标宋简体"/>
          <w:color w:val="auto"/>
          <w:sz w:val="32"/>
          <w:szCs w:val="32"/>
        </w:rPr>
      </w:pPr>
      <w:r>
        <w:rPr>
          <w:rFonts w:hint="eastAsia" w:ascii="方正小标宋简体" w:hAnsi="宋体" w:eastAsia="方正小标宋简体" w:cs="方正小标宋简体"/>
          <w:color w:val="auto"/>
          <w:sz w:val="32"/>
          <w:szCs w:val="32"/>
        </w:rPr>
        <w:t>全国税务领军人才培养工作领导小组办公室</w:t>
      </w:r>
    </w:p>
    <w:p w14:paraId="743AA763">
      <w:pPr>
        <w:keepNext w:val="0"/>
        <w:keepLines w:val="0"/>
        <w:pageBreakBefore w:val="0"/>
        <w:widowControl w:val="0"/>
        <w:kinsoku/>
        <w:wordWrap/>
        <w:topLinePunct w:val="0"/>
        <w:bidi w:val="0"/>
        <w:spacing w:afterLines="0" w:line="600" w:lineRule="exact"/>
        <w:jc w:val="center"/>
        <w:rPr>
          <w:rFonts w:hint="eastAsia" w:ascii="楷体_GB2312" w:hAnsi="宋体" w:eastAsia="楷体_GB2312" w:cs="楷体_GB2312"/>
          <w:color w:val="auto"/>
          <w:sz w:val="32"/>
          <w:szCs w:val="32"/>
        </w:rPr>
      </w:pPr>
      <w:r>
        <w:rPr>
          <w:rFonts w:ascii="楷体_GB2312" w:hAnsi="宋体" w:eastAsia="楷体_GB2312" w:cs="楷体_GB2312"/>
          <w:color w:val="auto"/>
          <w:sz w:val="32"/>
          <w:szCs w:val="32"/>
        </w:rPr>
        <w:t>20</w:t>
      </w:r>
      <w:r>
        <w:rPr>
          <w:rFonts w:hint="eastAsia" w:ascii="楷体_GB2312" w:hAnsi="宋体" w:eastAsia="楷体_GB2312" w:cs="楷体_GB2312"/>
          <w:color w:val="auto"/>
          <w:sz w:val="32"/>
          <w:szCs w:val="32"/>
        </w:rPr>
        <w:t>2</w:t>
      </w:r>
      <w:r>
        <w:rPr>
          <w:rFonts w:hint="eastAsia" w:ascii="楷体_GB2312" w:hAnsi="宋体" w:eastAsia="楷体_GB2312" w:cs="楷体_GB2312"/>
          <w:color w:val="auto"/>
          <w:sz w:val="32"/>
          <w:szCs w:val="32"/>
          <w:lang w:val="en-US" w:eastAsia="zh-CN"/>
        </w:rPr>
        <w:t>4</w:t>
      </w:r>
      <w:r>
        <w:rPr>
          <w:rFonts w:hint="eastAsia" w:ascii="楷体_GB2312" w:hAnsi="宋体" w:eastAsia="楷体_GB2312" w:cs="楷体_GB2312"/>
          <w:color w:val="auto"/>
          <w:sz w:val="32"/>
          <w:szCs w:val="32"/>
        </w:rPr>
        <w:t>年</w:t>
      </w:r>
      <w:r>
        <w:rPr>
          <w:rFonts w:hint="eastAsia" w:ascii="楷体_GB2312" w:hAnsi="宋体" w:eastAsia="楷体_GB2312" w:cs="楷体_GB2312"/>
          <w:color w:val="auto"/>
          <w:sz w:val="32"/>
          <w:szCs w:val="32"/>
          <w:lang w:val="en-US" w:eastAsia="zh-CN"/>
        </w:rPr>
        <w:t>7</w:t>
      </w:r>
      <w:r>
        <w:rPr>
          <w:rFonts w:hint="eastAsia" w:ascii="楷体_GB2312" w:hAnsi="宋体" w:eastAsia="楷体_GB2312" w:cs="楷体_GB2312"/>
          <w:color w:val="auto"/>
          <w:sz w:val="32"/>
          <w:szCs w:val="32"/>
        </w:rPr>
        <w:t>月</w:t>
      </w:r>
    </w:p>
    <w:p w14:paraId="424C0B20">
      <w:pPr>
        <w:keepNext w:val="0"/>
        <w:keepLines w:val="0"/>
        <w:pageBreakBefore w:val="0"/>
        <w:widowControl w:val="0"/>
        <w:kinsoku/>
        <w:wordWrap/>
        <w:topLinePunct w:val="0"/>
        <w:bidi w:val="0"/>
        <w:spacing w:afterLines="0" w:line="600" w:lineRule="exact"/>
        <w:jc w:val="center"/>
        <w:rPr>
          <w:rFonts w:hint="eastAsia" w:ascii="楷体_GB2312" w:hAnsi="宋体" w:eastAsia="楷体_GB2312" w:cs="楷体_GB2312"/>
          <w:color w:val="auto"/>
          <w:sz w:val="32"/>
          <w:szCs w:val="32"/>
        </w:rPr>
      </w:pPr>
    </w:p>
    <w:p w14:paraId="7B18311C">
      <w:pPr>
        <w:keepNext w:val="0"/>
        <w:keepLines w:val="0"/>
        <w:pageBreakBefore w:val="0"/>
        <w:widowControl w:val="0"/>
        <w:kinsoku/>
        <w:wordWrap/>
        <w:topLinePunct w:val="0"/>
        <w:bidi w:val="0"/>
        <w:spacing w:afterLines="0" w:line="600" w:lineRule="exact"/>
        <w:jc w:val="center"/>
        <w:rPr>
          <w:rFonts w:hint="eastAsia" w:ascii="楷体_GB2312" w:hAnsi="宋体" w:eastAsia="楷体_GB2312" w:cs="楷体_GB2312"/>
          <w:color w:val="auto"/>
          <w:sz w:val="32"/>
          <w:szCs w:val="32"/>
        </w:rPr>
      </w:pPr>
    </w:p>
    <w:p w14:paraId="6271CEBA">
      <w:pPr>
        <w:keepNext w:val="0"/>
        <w:keepLines w:val="0"/>
        <w:pageBreakBefore w:val="0"/>
        <w:kinsoku/>
        <w:wordWrap/>
        <w:topLinePunct w:val="0"/>
        <w:bidi w:val="0"/>
        <w:spacing w:before="156" w:beforeLines="50" w:after="156" w:afterLines="50" w:line="560" w:lineRule="exact"/>
        <w:jc w:val="center"/>
        <w:rPr>
          <w:rFonts w:hint="eastAsia" w:ascii="方正小标宋简体" w:hAnsi="宋体" w:eastAsia="方正小标宋简体" w:cs="方正小标宋简体"/>
          <w:color w:val="auto"/>
          <w:sz w:val="36"/>
          <w:szCs w:val="36"/>
        </w:rPr>
      </w:pPr>
      <w:r>
        <w:rPr>
          <w:rFonts w:hint="eastAsia" w:ascii="方正小标宋简体" w:hAnsi="宋体" w:eastAsia="方正小标宋简体" w:cs="方正小标宋简体"/>
          <w:color w:val="auto"/>
          <w:sz w:val="36"/>
          <w:szCs w:val="36"/>
        </w:rPr>
        <w:t>考试大纲说明</w:t>
      </w:r>
    </w:p>
    <w:p w14:paraId="160BC7B5">
      <w:pPr>
        <w:pStyle w:val="2"/>
        <w:keepNext w:val="0"/>
        <w:keepLines w:val="0"/>
        <w:pageBreakBefore w:val="0"/>
        <w:kinsoku/>
        <w:wordWrap/>
        <w:topLinePunct w:val="0"/>
        <w:bidi w:val="0"/>
        <w:spacing w:line="560" w:lineRule="exact"/>
        <w:jc w:val="both"/>
        <w:rPr>
          <w:color w:val="auto"/>
        </w:rPr>
      </w:pPr>
    </w:p>
    <w:p w14:paraId="707806F6">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为提高税务领军人才学员选拔的精准性和实效性，指导考生学习备考</w:t>
      </w:r>
      <w:r>
        <w:rPr>
          <w:rFonts w:hint="eastAsia" w:ascii="仿宋_GB2312" w:hAnsi="仿宋_GB2312" w:eastAsia="仿宋_GB2312" w:cs="仿宋_GB2312"/>
          <w:color w:val="auto"/>
          <w:sz w:val="32"/>
          <w:szCs w:val="32"/>
          <w:lang w:val="en-US" w:eastAsia="zh-CN"/>
        </w:rPr>
        <w:t>和</w:t>
      </w:r>
      <w:r>
        <w:rPr>
          <w:rFonts w:hint="eastAsia" w:ascii="仿宋_GB2312" w:hAnsi="仿宋_GB2312" w:eastAsia="仿宋_GB2312" w:cs="仿宋_GB2312"/>
          <w:color w:val="auto"/>
          <w:sz w:val="32"/>
          <w:szCs w:val="32"/>
        </w:rPr>
        <w:t>命题阅卷工作，特制定本大纲。</w:t>
      </w:r>
    </w:p>
    <w:p w14:paraId="42B54947">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一、制定依据</w:t>
      </w:r>
    </w:p>
    <w:p w14:paraId="15E4CC09">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本大纲</w:t>
      </w:r>
      <w:r>
        <w:rPr>
          <w:rFonts w:hint="eastAsia" w:ascii="仿宋_GB2312" w:hAnsi="仿宋_GB2312" w:eastAsia="仿宋_GB2312" w:cs="仿宋_GB2312"/>
          <w:color w:val="auto"/>
          <w:sz w:val="32"/>
          <w:szCs w:val="32"/>
        </w:rPr>
        <w:t>根据国家税务总局关于新时代税务人才工作</w:t>
      </w:r>
      <w:r>
        <w:rPr>
          <w:rFonts w:hint="eastAsia" w:ascii="仿宋_GB2312" w:hAnsi="仿宋_GB2312" w:eastAsia="仿宋_GB2312" w:cs="仿宋_GB2312"/>
          <w:color w:val="auto"/>
          <w:sz w:val="32"/>
          <w:szCs w:val="32"/>
          <w:lang w:eastAsia="zh-CN"/>
        </w:rPr>
        <w:t>要求，</w:t>
      </w:r>
      <w:r>
        <w:rPr>
          <w:rFonts w:hint="eastAsia" w:ascii="仿宋_GB2312" w:hAnsi="仿宋_GB2312" w:eastAsia="仿宋_GB2312" w:cs="仿宋_GB2312"/>
          <w:color w:val="auto"/>
          <w:sz w:val="32"/>
          <w:szCs w:val="32"/>
        </w:rPr>
        <w:t>按照全国税务领军人才培养规划</w:t>
      </w:r>
      <w:r>
        <w:rPr>
          <w:rFonts w:hint="eastAsia" w:ascii="仿宋_GB2312" w:hAnsi="仿宋_GB2312" w:eastAsia="仿宋_GB2312" w:cs="仿宋_GB2312"/>
          <w:color w:val="auto"/>
          <w:sz w:val="32"/>
          <w:szCs w:val="32"/>
          <w:lang w:eastAsia="zh-CN"/>
        </w:rPr>
        <w:t>和</w:t>
      </w:r>
      <w:r>
        <w:rPr>
          <w:rFonts w:hint="eastAsia" w:ascii="仿宋_GB2312" w:hAnsi="仿宋_GB2312" w:eastAsia="仿宋_GB2312" w:cs="仿宋_GB2312"/>
          <w:color w:val="auto"/>
          <w:sz w:val="32"/>
          <w:szCs w:val="32"/>
        </w:rPr>
        <w:t>第</w:t>
      </w:r>
      <w:r>
        <w:rPr>
          <w:rFonts w:hint="eastAsia" w:ascii="仿宋_GB2312" w:hAnsi="仿宋_GB2312" w:eastAsia="仿宋_GB2312" w:cs="仿宋_GB2312"/>
          <w:color w:val="auto"/>
          <w:sz w:val="32"/>
          <w:szCs w:val="32"/>
          <w:lang w:eastAsia="zh-CN"/>
        </w:rPr>
        <w:t>十</w:t>
      </w:r>
      <w:r>
        <w:rPr>
          <w:rFonts w:hint="eastAsia" w:ascii="仿宋_GB2312" w:hAnsi="仿宋_GB2312" w:eastAsia="仿宋_GB2312" w:cs="仿宋_GB2312"/>
          <w:color w:val="auto"/>
          <w:sz w:val="32"/>
          <w:szCs w:val="32"/>
        </w:rPr>
        <w:t>批全国税务领军人才</w:t>
      </w:r>
      <w:r>
        <w:rPr>
          <w:rFonts w:hint="eastAsia" w:ascii="仿宋_GB2312" w:hAnsi="仿宋_GB2312" w:eastAsia="仿宋_GB2312" w:cs="仿宋_GB2312"/>
          <w:color w:val="auto"/>
          <w:sz w:val="32"/>
          <w:szCs w:val="32"/>
          <w:lang w:eastAsia="zh-CN"/>
        </w:rPr>
        <w:t>学员选拔方案制定</w:t>
      </w:r>
      <w:r>
        <w:rPr>
          <w:rFonts w:hint="eastAsia" w:ascii="仿宋_GB2312" w:hAnsi="仿宋_GB2312" w:eastAsia="仿宋_GB2312" w:cs="仿宋_GB2312"/>
          <w:color w:val="auto"/>
          <w:sz w:val="32"/>
          <w:szCs w:val="32"/>
        </w:rPr>
        <w:t>。</w:t>
      </w:r>
    </w:p>
    <w:p w14:paraId="72650581">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二、考察目标</w:t>
      </w:r>
    </w:p>
    <w:p w14:paraId="2EC790D4">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主要考察考生是否具备税务领军人才学员应具备的综合素质和培养潜质，</w:t>
      </w:r>
      <w:r>
        <w:rPr>
          <w:rFonts w:hint="eastAsia" w:ascii="仿宋_GB2312" w:hAnsi="仿宋_GB2312" w:eastAsia="仿宋_GB2312" w:cs="仿宋_GB2312"/>
          <w:color w:val="auto"/>
          <w:sz w:val="32"/>
          <w:szCs w:val="32"/>
          <w:lang w:val="en-US" w:eastAsia="zh-CN"/>
        </w:rPr>
        <w:t>包括考生政治</w:t>
      </w:r>
      <w:r>
        <w:rPr>
          <w:rFonts w:hint="eastAsia" w:ascii="仿宋_GB2312" w:hAnsi="仿宋_GB2312" w:eastAsia="仿宋_GB2312" w:cs="仿宋_GB2312"/>
          <w:color w:val="auto"/>
          <w:sz w:val="32"/>
          <w:szCs w:val="32"/>
        </w:rPr>
        <w:t>理论</w:t>
      </w:r>
      <w:r>
        <w:rPr>
          <w:rFonts w:hint="eastAsia" w:ascii="仿宋_GB2312" w:hAnsi="仿宋_GB2312" w:eastAsia="仿宋_GB2312" w:cs="仿宋_GB2312"/>
          <w:color w:val="auto"/>
          <w:sz w:val="32"/>
          <w:szCs w:val="32"/>
          <w:lang w:eastAsia="zh-CN"/>
        </w:rPr>
        <w:t>素养</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税务及相关工作知识</w:t>
      </w:r>
      <w:r>
        <w:rPr>
          <w:rFonts w:hint="eastAsia" w:ascii="仿宋_GB2312" w:hAnsi="仿宋_GB2312" w:eastAsia="仿宋_GB2312" w:cs="仿宋_GB2312"/>
          <w:color w:val="auto"/>
          <w:sz w:val="32"/>
          <w:szCs w:val="32"/>
        </w:rPr>
        <w:t>、创新意识、</w:t>
      </w:r>
      <w:r>
        <w:rPr>
          <w:rFonts w:hint="eastAsia" w:ascii="仿宋_GB2312" w:hAnsi="仿宋_GB2312" w:eastAsia="仿宋_GB2312" w:cs="仿宋_GB2312"/>
          <w:color w:val="auto"/>
          <w:sz w:val="32"/>
          <w:szCs w:val="32"/>
          <w:lang w:val="en-US" w:eastAsia="zh-CN"/>
        </w:rPr>
        <w:t>工作</w:t>
      </w:r>
      <w:r>
        <w:rPr>
          <w:rFonts w:hint="eastAsia" w:ascii="仿宋_GB2312" w:hAnsi="仿宋_GB2312" w:eastAsia="仿宋_GB2312" w:cs="仿宋_GB2312"/>
          <w:color w:val="auto"/>
          <w:sz w:val="32"/>
          <w:szCs w:val="32"/>
        </w:rPr>
        <w:t>能力、</w:t>
      </w:r>
      <w:r>
        <w:rPr>
          <w:rFonts w:hint="eastAsia" w:ascii="仿宋_GB2312" w:hAnsi="仿宋_GB2312" w:eastAsia="仿宋_GB2312" w:cs="仿宋_GB2312"/>
          <w:color w:val="auto"/>
          <w:sz w:val="32"/>
          <w:szCs w:val="32"/>
          <w:lang w:val="en-US" w:eastAsia="zh-CN"/>
        </w:rPr>
        <w:t>战略</w:t>
      </w:r>
      <w:r>
        <w:rPr>
          <w:rFonts w:hint="eastAsia" w:ascii="仿宋_GB2312" w:hAnsi="仿宋_GB2312" w:eastAsia="仿宋_GB2312" w:cs="仿宋_GB2312"/>
          <w:color w:val="auto"/>
          <w:sz w:val="32"/>
          <w:szCs w:val="32"/>
        </w:rPr>
        <w:t>思维</w:t>
      </w:r>
      <w:r>
        <w:rPr>
          <w:rFonts w:hint="eastAsia" w:ascii="仿宋_GB2312" w:hAnsi="仿宋_GB2312" w:eastAsia="仿宋_GB2312" w:cs="仿宋_GB2312"/>
          <w:color w:val="auto"/>
          <w:sz w:val="32"/>
          <w:szCs w:val="32"/>
          <w:lang w:val="en-US" w:eastAsia="zh-CN"/>
        </w:rPr>
        <w:t>和</w:t>
      </w:r>
      <w:r>
        <w:rPr>
          <w:rFonts w:hint="eastAsia" w:ascii="仿宋_GB2312" w:hAnsi="仿宋_GB2312" w:eastAsia="仿宋_GB2312" w:cs="仿宋_GB2312"/>
          <w:color w:val="auto"/>
          <w:sz w:val="32"/>
          <w:szCs w:val="32"/>
        </w:rPr>
        <w:t>国际视野。</w:t>
      </w:r>
    </w:p>
    <w:p w14:paraId="6D5A79DD">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三、考试方式</w:t>
      </w:r>
    </w:p>
    <w:p w14:paraId="4D7D864A">
      <w:pPr>
        <w:keepNext w:val="0"/>
        <w:keepLines w:val="0"/>
        <w:pageBreakBefore w:val="0"/>
        <w:widowControl w:val="0"/>
        <w:kinsoku/>
        <w:wordWrap/>
        <w:topLinePunct w:val="0"/>
        <w:bidi w:val="0"/>
        <w:snapToGrid/>
        <w:spacing w:afterLines="0" w:line="600" w:lineRule="exact"/>
        <w:ind w:firstLine="640" w:firstLineChars="200"/>
        <w:jc w:val="both"/>
        <w:rPr>
          <w:rFonts w:hint="eastAsia" w:ascii="楷体_GB2312" w:hAnsi="楷体" w:eastAsia="楷体_GB2312"/>
          <w:color w:val="auto"/>
          <w:sz w:val="32"/>
          <w:szCs w:val="32"/>
          <w:lang w:val="en-US" w:eastAsia="zh-CN"/>
        </w:rPr>
      </w:pPr>
      <w:r>
        <w:rPr>
          <w:rFonts w:hint="eastAsia" w:ascii="楷体_GB2312" w:hAnsi="楷体" w:eastAsia="楷体_GB2312"/>
          <w:color w:val="auto"/>
          <w:sz w:val="32"/>
          <w:szCs w:val="32"/>
        </w:rPr>
        <w:t>（一）笔试</w:t>
      </w:r>
    </w:p>
    <w:p w14:paraId="170F2FB5">
      <w:pPr>
        <w:keepNext w:val="0"/>
        <w:keepLines w:val="0"/>
        <w:pageBreakBefore w:val="0"/>
        <w:widowControl w:val="0"/>
        <w:kinsoku/>
        <w:wordWrap/>
        <w:topLinePunct w:val="0"/>
        <w:bidi w:val="0"/>
        <w:snapToGrid/>
        <w:spacing w:afterLines="0" w:line="600" w:lineRule="exact"/>
        <w:ind w:firstLine="640" w:firstLineChars="200"/>
        <w:jc w:val="both"/>
        <w:rPr>
          <w:rFonts w:hint="eastAsia" w:ascii="仿宋_GB2312" w:eastAsia="仿宋_GB2312"/>
          <w:color w:val="auto"/>
          <w:sz w:val="32"/>
          <w:szCs w:val="32"/>
          <w:lang w:eastAsia="zh-CN"/>
        </w:rPr>
      </w:pPr>
      <w:r>
        <w:rPr>
          <w:rFonts w:hint="eastAsia" w:ascii="仿宋_GB2312" w:eastAsia="仿宋_GB2312"/>
          <w:sz w:val="32"/>
          <w:szCs w:val="32"/>
        </w:rPr>
        <w:t>笔试采取闭卷机考方式</w:t>
      </w:r>
      <w:r>
        <w:rPr>
          <w:rFonts w:hint="eastAsia" w:ascii="仿宋_GB2312" w:eastAsia="仿宋_GB2312"/>
          <w:sz w:val="32"/>
          <w:szCs w:val="32"/>
          <w:lang w:eastAsia="zh-CN"/>
        </w:rPr>
        <w:t>，</w:t>
      </w:r>
      <w:r>
        <w:rPr>
          <w:rFonts w:hint="eastAsia" w:ascii="仿宋_GB2312" w:eastAsia="仿宋_GB2312"/>
          <w:sz w:val="32"/>
          <w:szCs w:val="32"/>
        </w:rPr>
        <w:t>包括综合知识和业务能力考试、英语水平考试。</w:t>
      </w:r>
      <w:r>
        <w:rPr>
          <w:rFonts w:hint="eastAsia" w:ascii="仿宋_GB2312" w:eastAsia="仿宋_GB2312"/>
          <w:color w:val="auto"/>
          <w:sz w:val="32"/>
          <w:szCs w:val="32"/>
        </w:rPr>
        <w:t>其中，综合知识与业务能力考</w:t>
      </w:r>
      <w:r>
        <w:rPr>
          <w:rFonts w:hint="eastAsia" w:ascii="仿宋_GB2312" w:hAnsi="仿宋_GB2312" w:eastAsia="仿宋_GB2312" w:cs="仿宋_GB2312"/>
          <w:color w:val="auto"/>
          <w:sz w:val="32"/>
          <w:szCs w:val="32"/>
        </w:rPr>
        <w:t>试时间为1</w:t>
      </w:r>
      <w:r>
        <w:rPr>
          <w:rFonts w:ascii="仿宋_GB2312" w:hAnsi="仿宋_GB2312" w:eastAsia="仿宋_GB2312" w:cs="仿宋_GB2312"/>
          <w:color w:val="auto"/>
          <w:sz w:val="32"/>
          <w:szCs w:val="32"/>
        </w:rPr>
        <w:t>80</w:t>
      </w:r>
      <w:r>
        <w:rPr>
          <w:rFonts w:hint="eastAsia" w:ascii="仿宋_GB2312" w:hAnsi="仿宋_GB2312" w:eastAsia="仿宋_GB2312" w:cs="仿宋_GB2312"/>
          <w:color w:val="auto"/>
          <w:sz w:val="32"/>
          <w:szCs w:val="32"/>
        </w:rPr>
        <w:t>分钟，包括但不限于单项选择题、多项选择题、判断题、辨析题、简述题、案例题、分析题、写作题等题型。</w:t>
      </w:r>
      <w:r>
        <w:rPr>
          <w:rFonts w:hint="eastAsia" w:ascii="仿宋_GB2312" w:eastAsia="仿宋_GB2312"/>
          <w:color w:val="auto"/>
          <w:sz w:val="32"/>
          <w:szCs w:val="32"/>
        </w:rPr>
        <w:t>英语水平考试时间为</w:t>
      </w:r>
      <w:r>
        <w:rPr>
          <w:rFonts w:hint="eastAsia" w:ascii="仿宋_GB2312" w:eastAsia="仿宋_GB2312"/>
          <w:color w:val="auto"/>
          <w:sz w:val="32"/>
          <w:szCs w:val="32"/>
          <w:lang w:val="en"/>
        </w:rPr>
        <w:t>90</w:t>
      </w:r>
      <w:r>
        <w:rPr>
          <w:rFonts w:hint="eastAsia" w:ascii="仿宋_GB2312" w:eastAsia="仿宋_GB2312"/>
          <w:color w:val="auto"/>
          <w:sz w:val="32"/>
          <w:szCs w:val="32"/>
        </w:rPr>
        <w:t>分钟，包括但不限于听力理解题、阅读理解题、翻译题、英文写作题等题型。</w:t>
      </w:r>
      <w:r>
        <w:rPr>
          <w:rFonts w:hint="eastAsia" w:ascii="仿宋_GB2312" w:hAnsi="仿宋_GB2312" w:eastAsia="仿宋_GB2312" w:cs="仿宋_GB2312"/>
          <w:color w:val="auto"/>
          <w:sz w:val="32"/>
          <w:szCs w:val="32"/>
          <w:lang w:eastAsia="zh-CN"/>
        </w:rPr>
        <w:t>笔试结束后，组织开展心理测评，</w:t>
      </w:r>
      <w:r>
        <w:rPr>
          <w:rFonts w:hint="eastAsia" w:ascii="仿宋_GB2312" w:hAnsi="仿宋_GB2312" w:eastAsia="仿宋_GB2312" w:cs="仿宋_GB2312"/>
          <w:color w:val="auto"/>
          <w:sz w:val="32"/>
          <w:szCs w:val="32"/>
        </w:rPr>
        <w:t>主要</w:t>
      </w:r>
      <w:r>
        <w:rPr>
          <w:rFonts w:hint="eastAsia" w:ascii="仿宋_GB2312" w:hAnsi="仿宋_GB2312" w:eastAsia="仿宋_GB2312" w:cs="仿宋_GB2312"/>
          <w:color w:val="auto"/>
          <w:sz w:val="32"/>
          <w:szCs w:val="32"/>
          <w:lang w:eastAsia="zh-CN"/>
        </w:rPr>
        <w:t>考察</w:t>
      </w:r>
      <w:r>
        <w:rPr>
          <w:rFonts w:hint="eastAsia" w:ascii="仿宋_GB2312" w:hAnsi="仿宋_GB2312" w:eastAsia="仿宋_GB2312" w:cs="仿宋_GB2312"/>
          <w:color w:val="auto"/>
          <w:sz w:val="32"/>
          <w:szCs w:val="32"/>
        </w:rPr>
        <w:t>考生</w:t>
      </w:r>
      <w:r>
        <w:rPr>
          <w:rFonts w:hint="eastAsia" w:ascii="仿宋_GB2312" w:hAnsi="仿宋_GB2312" w:eastAsia="仿宋_GB2312" w:cs="仿宋_GB2312"/>
          <w:color w:val="auto"/>
          <w:sz w:val="32"/>
          <w:szCs w:val="32"/>
          <w:lang w:eastAsia="zh-CN"/>
        </w:rPr>
        <w:t>的</w:t>
      </w:r>
      <w:r>
        <w:rPr>
          <w:rFonts w:hint="eastAsia" w:ascii="仿宋_GB2312" w:hAnsi="仿宋_GB2312" w:eastAsia="仿宋_GB2312" w:cs="仿宋_GB2312"/>
          <w:color w:val="auto"/>
          <w:sz w:val="32"/>
          <w:szCs w:val="32"/>
        </w:rPr>
        <w:t>心理素质、性格特征、抗压能力和调适能力等。</w:t>
      </w:r>
    </w:p>
    <w:p w14:paraId="69D84E50">
      <w:pPr>
        <w:keepNext w:val="0"/>
        <w:keepLines w:val="0"/>
        <w:pageBreakBefore w:val="0"/>
        <w:widowControl w:val="0"/>
        <w:kinsoku/>
        <w:wordWrap/>
        <w:topLinePunct w:val="0"/>
        <w:bidi w:val="0"/>
        <w:snapToGrid/>
        <w:spacing w:afterLines="0" w:line="600" w:lineRule="exact"/>
        <w:ind w:firstLine="640" w:firstLineChars="200"/>
        <w:jc w:val="both"/>
        <w:rPr>
          <w:rFonts w:ascii="楷体_GB2312" w:hAnsi="楷体" w:eastAsia="楷体_GB2312"/>
          <w:color w:val="auto"/>
          <w:sz w:val="32"/>
          <w:szCs w:val="32"/>
        </w:rPr>
      </w:pPr>
      <w:r>
        <w:rPr>
          <w:rFonts w:hint="eastAsia" w:ascii="楷体_GB2312" w:hAnsi="楷体" w:eastAsia="楷体_GB2312"/>
          <w:color w:val="auto"/>
          <w:sz w:val="32"/>
          <w:szCs w:val="32"/>
        </w:rPr>
        <w:t>（二）面试</w:t>
      </w:r>
    </w:p>
    <w:p w14:paraId="1F18C11B">
      <w:pPr>
        <w:keepNext w:val="0"/>
        <w:keepLines w:val="0"/>
        <w:pageBreakBefore w:val="0"/>
        <w:widowControl w:val="0"/>
        <w:kinsoku/>
        <w:wordWrap/>
        <w:topLinePunct w:val="0"/>
        <w:bidi w:val="0"/>
        <w:snapToGrid/>
        <w:spacing w:afterLines="0" w:line="600" w:lineRule="exact"/>
        <w:ind w:firstLine="640" w:firstLineChars="200"/>
        <w:jc w:val="both"/>
        <w:rPr>
          <w:rFonts w:hint="eastAsia" w:ascii="仿宋_GB2312" w:eastAsia="仿宋_GB2312"/>
          <w:color w:val="auto"/>
          <w:sz w:val="32"/>
          <w:szCs w:val="32"/>
          <w:lang w:eastAsia="zh-CN"/>
        </w:rPr>
      </w:pPr>
      <w:r>
        <w:rPr>
          <w:rFonts w:hint="eastAsia" w:ascii="仿宋_GB2312" w:eastAsia="仿宋_GB2312"/>
          <w:color w:val="auto"/>
          <w:sz w:val="32"/>
          <w:szCs w:val="32"/>
        </w:rPr>
        <w:t>面试包括但不限于结构化面试、半结构化面试、无领导小组讨论</w:t>
      </w:r>
      <w:r>
        <w:rPr>
          <w:rFonts w:hint="eastAsia" w:ascii="仿宋_GB2312" w:hAnsi="仿宋_GB2312" w:eastAsia="仿宋_GB2312" w:cs="仿宋_GB2312"/>
          <w:color w:val="auto"/>
          <w:sz w:val="32"/>
          <w:szCs w:val="32"/>
        </w:rPr>
        <w:t>、角色扮演、策</w:t>
      </w:r>
      <w:r>
        <w:rPr>
          <w:rFonts w:hint="eastAsia" w:ascii="仿宋_GB2312" w:eastAsia="仿宋_GB2312"/>
          <w:color w:val="auto"/>
          <w:sz w:val="32"/>
          <w:szCs w:val="32"/>
        </w:rPr>
        <w:t>论或情景模拟面试等。</w:t>
      </w:r>
    </w:p>
    <w:p w14:paraId="216FE4D1">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四、笔试内容</w:t>
      </w:r>
    </w:p>
    <w:p w14:paraId="021C92FF">
      <w:pPr>
        <w:keepNext w:val="0"/>
        <w:keepLines w:val="0"/>
        <w:pageBreakBefore w:val="0"/>
        <w:widowControl w:val="0"/>
        <w:kinsoku/>
        <w:wordWrap/>
        <w:topLinePunct w:val="0"/>
        <w:bidi w:val="0"/>
        <w:spacing w:afterLines="0" w:line="600" w:lineRule="exact"/>
        <w:ind w:firstLine="640" w:firstLineChars="200"/>
        <w:jc w:val="both"/>
        <w:rPr>
          <w:rFonts w:hint="eastAsia" w:ascii="楷体_GB2312" w:hAnsi="华文仿宋" w:eastAsia="楷体_GB2312" w:cs="仿宋_GB2312"/>
          <w:color w:val="auto"/>
          <w:sz w:val="32"/>
          <w:szCs w:val="32"/>
        </w:rPr>
      </w:pPr>
      <w:r>
        <w:rPr>
          <w:rFonts w:hint="eastAsia" w:ascii="楷体_GB2312" w:hAnsi="华文仿宋" w:eastAsia="楷体_GB2312" w:cs="仿宋_GB2312"/>
          <w:color w:val="auto"/>
          <w:sz w:val="32"/>
          <w:szCs w:val="32"/>
        </w:rPr>
        <w:t>（一）综合知识和专业能力考试</w:t>
      </w:r>
    </w:p>
    <w:p w14:paraId="3073AA8B">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1.综合知识部分。主要包括政治、经济、法律、管理、科技、历史、文学、国情国力、公文、税收公共知识等。</w:t>
      </w:r>
    </w:p>
    <w:p w14:paraId="71E32F08">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w:t>
      </w:r>
      <w:r>
        <w:rPr>
          <w:rFonts w:hint="eastAsia" w:ascii="仿宋_GB2312" w:hAnsi="仿宋_GB2312" w:eastAsia="仿宋_GB2312" w:cs="仿宋_GB2312"/>
          <w:color w:val="000000"/>
          <w:sz w:val="32"/>
          <w:szCs w:val="32"/>
          <w:lang w:val="en"/>
        </w:rPr>
        <w:t>专业能力部分。</w:t>
      </w:r>
      <w:r>
        <w:rPr>
          <w:rFonts w:hint="eastAsia" w:ascii="仿宋_GB2312" w:hAnsi="仿宋_GB2312" w:eastAsia="仿宋_GB2312" w:cs="仿宋_GB2312"/>
          <w:color w:val="000000"/>
          <w:sz w:val="32"/>
          <w:szCs w:val="32"/>
          <w:lang w:val="en" w:eastAsia="zh-CN"/>
        </w:rPr>
        <w:t>分别按不同选拔专业方向安排</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（1）税政管理方向主要</w:t>
      </w:r>
      <w:r>
        <w:rPr>
          <w:rFonts w:hint="eastAsia" w:ascii="仿宋_GB2312" w:hAnsi="仿宋_GB2312" w:eastAsia="仿宋_GB2312" w:cs="仿宋_GB2312"/>
          <w:color w:val="000000"/>
          <w:sz w:val="32"/>
          <w:szCs w:val="32"/>
          <w:lang w:eastAsia="zh-CN"/>
        </w:rPr>
        <w:t>包括</w:t>
      </w:r>
      <w:r>
        <w:rPr>
          <w:rFonts w:hint="eastAsia" w:ascii="仿宋_GB2312" w:hAnsi="仿宋_GB2312" w:eastAsia="仿宋_GB2312" w:cs="仿宋_GB2312"/>
          <w:color w:val="000000"/>
          <w:sz w:val="32"/>
          <w:szCs w:val="32"/>
        </w:rPr>
        <w:t>货物和劳务税管理、财产和行为税管理、国际税收管理等</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lang w:eastAsia="zh-CN"/>
        </w:rPr>
        <w:t>社保非税</w:t>
      </w:r>
      <w:r>
        <w:rPr>
          <w:rFonts w:hint="eastAsia" w:ascii="仿宋_GB2312" w:hAnsi="仿宋_GB2312" w:eastAsia="仿宋_GB2312" w:cs="仿宋_GB2312"/>
          <w:color w:val="000000"/>
          <w:sz w:val="32"/>
          <w:szCs w:val="32"/>
        </w:rPr>
        <w:t>方向主要</w:t>
      </w:r>
      <w:r>
        <w:rPr>
          <w:rFonts w:hint="eastAsia" w:ascii="仿宋_GB2312" w:hAnsi="仿宋_GB2312" w:eastAsia="仿宋_GB2312" w:cs="仿宋_GB2312"/>
          <w:color w:val="000000"/>
          <w:sz w:val="32"/>
          <w:szCs w:val="32"/>
          <w:lang w:eastAsia="zh-CN"/>
        </w:rPr>
        <w:t>包括</w:t>
      </w:r>
      <w:r>
        <w:rPr>
          <w:rFonts w:hint="eastAsia" w:ascii="仿宋_GB2312" w:hAnsi="仿宋_GB2312" w:eastAsia="仿宋_GB2312" w:cs="仿宋_GB2312"/>
          <w:color w:val="000000"/>
          <w:sz w:val="32"/>
          <w:szCs w:val="32"/>
        </w:rPr>
        <w:t>社会保险费和非税收入征管职责划转、降费、组织收入等；（</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rPr>
        <w:t>）税源管理方向主要</w:t>
      </w:r>
      <w:r>
        <w:rPr>
          <w:rFonts w:hint="eastAsia" w:ascii="仿宋_GB2312" w:hAnsi="仿宋_GB2312" w:eastAsia="仿宋_GB2312" w:cs="仿宋_GB2312"/>
          <w:color w:val="000000"/>
          <w:sz w:val="32"/>
          <w:szCs w:val="32"/>
          <w:lang w:eastAsia="zh-CN"/>
        </w:rPr>
        <w:t>包括</w:t>
      </w:r>
      <w:r>
        <w:rPr>
          <w:rFonts w:hint="eastAsia" w:ascii="仿宋_GB2312" w:hAnsi="仿宋_GB2312" w:eastAsia="仿宋_GB2312" w:cs="仿宋_GB2312"/>
          <w:color w:val="000000"/>
          <w:sz w:val="32"/>
          <w:szCs w:val="32"/>
        </w:rPr>
        <w:t>基本经济理论、数理统计、税收分析、规划核算以及大企业专题性经济分析、集团税源监控等；</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lang w:eastAsia="zh-CN"/>
        </w:rPr>
        <w:t>）税务稽查方向主要包括税务稽查法律关系、税务稽查办案程序管理、税务稽查案件组织检查管理等；（</w:t>
      </w: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lang w:eastAsia="zh-CN"/>
        </w:rPr>
        <w:t>）税收征管数字化方向主要包括智慧税务建设、深化税收征管制度改革等</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rPr>
        <w:t>）巡视督审方向主要</w:t>
      </w:r>
      <w:r>
        <w:rPr>
          <w:rFonts w:hint="eastAsia" w:ascii="仿宋_GB2312" w:hAnsi="仿宋_GB2312" w:eastAsia="仿宋_GB2312" w:cs="仿宋_GB2312"/>
          <w:color w:val="000000"/>
          <w:sz w:val="32"/>
          <w:szCs w:val="32"/>
          <w:lang w:eastAsia="zh-CN"/>
        </w:rPr>
        <w:t>包括</w:t>
      </w:r>
      <w:r>
        <w:rPr>
          <w:rFonts w:hint="eastAsia" w:ascii="仿宋_GB2312" w:hAnsi="仿宋_GB2312" w:eastAsia="仿宋_GB2312" w:cs="仿宋_GB2312"/>
          <w:color w:val="000000"/>
          <w:sz w:val="32"/>
          <w:szCs w:val="32"/>
        </w:rPr>
        <w:t>巡视巡察、</w:t>
      </w:r>
      <w:r>
        <w:rPr>
          <w:rFonts w:hint="eastAsia" w:ascii="仿宋_GB2312" w:hAnsi="仿宋_GB2312" w:eastAsia="仿宋_GB2312" w:cs="仿宋_GB2312"/>
          <w:color w:val="000000"/>
          <w:sz w:val="32"/>
          <w:szCs w:val="32"/>
          <w:lang w:eastAsia="zh-CN"/>
        </w:rPr>
        <w:t>督审</w:t>
      </w:r>
      <w:r>
        <w:rPr>
          <w:rFonts w:hint="eastAsia" w:ascii="仿宋_GB2312" w:hAnsi="仿宋_GB2312" w:eastAsia="仿宋_GB2312" w:cs="仿宋_GB2312"/>
          <w:color w:val="000000"/>
          <w:sz w:val="32"/>
          <w:szCs w:val="32"/>
        </w:rPr>
        <w:t>监督和内部控制等</w:t>
      </w:r>
      <w:r>
        <w:rPr>
          <w:rFonts w:hint="eastAsia" w:ascii="仿宋_GB2312" w:hAnsi="仿宋_GB2312" w:eastAsia="仿宋_GB2312" w:cs="仿宋_GB2312"/>
          <w:color w:val="000000"/>
          <w:sz w:val="32"/>
          <w:szCs w:val="32"/>
          <w:lang w:val="en-US" w:eastAsia="zh-CN"/>
        </w:rPr>
        <w:t>；（7）</w:t>
      </w:r>
      <w:r>
        <w:rPr>
          <w:rFonts w:hint="eastAsia" w:ascii="仿宋_GB2312" w:hAnsi="仿宋_GB2312" w:eastAsia="仿宋_GB2312" w:cs="仿宋_GB2312"/>
          <w:color w:val="000000"/>
          <w:sz w:val="32"/>
          <w:szCs w:val="32"/>
        </w:rPr>
        <w:t>税收传播方向主要</w:t>
      </w:r>
      <w:r>
        <w:rPr>
          <w:rFonts w:hint="eastAsia" w:ascii="仿宋_GB2312" w:hAnsi="仿宋_GB2312" w:eastAsia="仿宋_GB2312" w:cs="仿宋_GB2312"/>
          <w:color w:val="000000"/>
          <w:sz w:val="32"/>
          <w:szCs w:val="32"/>
          <w:lang w:eastAsia="zh-CN"/>
        </w:rPr>
        <w:t>包括</w:t>
      </w:r>
      <w:r>
        <w:rPr>
          <w:rFonts w:hint="eastAsia" w:ascii="仿宋_GB2312" w:hAnsi="仿宋_GB2312" w:eastAsia="仿宋_GB2312" w:cs="仿宋_GB2312"/>
          <w:color w:val="000000"/>
          <w:sz w:val="32"/>
          <w:szCs w:val="32"/>
        </w:rPr>
        <w:t>税收新闻传播、税收文化宣传、税收舆情管理、政府信息公开以及税收科研等。</w:t>
      </w:r>
    </w:p>
    <w:p w14:paraId="7E75E392">
      <w:pPr>
        <w:keepNext w:val="0"/>
        <w:keepLines w:val="0"/>
        <w:pageBreakBefore w:val="0"/>
        <w:widowControl w:val="0"/>
        <w:kinsoku/>
        <w:wordWrap/>
        <w:topLinePunct w:val="0"/>
        <w:bidi w:val="0"/>
        <w:spacing w:afterLines="0" w:line="600" w:lineRule="exact"/>
        <w:ind w:firstLine="640" w:firstLineChars="200"/>
        <w:jc w:val="both"/>
        <w:rPr>
          <w:rFonts w:ascii="楷体_GB2312" w:hAnsi="华文仿宋" w:eastAsia="楷体_GB2312" w:cs="仿宋_GB2312"/>
          <w:color w:val="auto"/>
          <w:sz w:val="32"/>
          <w:szCs w:val="32"/>
        </w:rPr>
      </w:pPr>
      <w:r>
        <w:rPr>
          <w:rFonts w:hint="eastAsia" w:ascii="楷体_GB2312" w:hAnsi="华文仿宋" w:eastAsia="楷体_GB2312" w:cs="仿宋_GB2312"/>
          <w:color w:val="auto"/>
          <w:sz w:val="32"/>
          <w:szCs w:val="32"/>
        </w:rPr>
        <w:t>（二）英语水平考试</w:t>
      </w:r>
    </w:p>
    <w:p w14:paraId="7074E2D6">
      <w:pPr>
        <w:keepNext w:val="0"/>
        <w:keepLines w:val="0"/>
        <w:pageBreakBefore w:val="0"/>
        <w:widowControl w:val="0"/>
        <w:kinsoku/>
        <w:wordWrap/>
        <w:topLinePunct w:val="0"/>
        <w:bidi w:val="0"/>
        <w:snapToGrid/>
        <w:spacing w:afterLines="0" w:line="600" w:lineRule="exact"/>
        <w:ind w:firstLine="640" w:firstLineChars="200"/>
        <w:jc w:val="both"/>
        <w:rPr>
          <w:rFonts w:ascii="楷体_GB2312" w:hAnsi="楷体" w:eastAsia="楷体_GB2312"/>
          <w:color w:val="auto"/>
          <w:sz w:val="32"/>
          <w:szCs w:val="32"/>
        </w:rPr>
      </w:pPr>
      <w:r>
        <w:rPr>
          <w:rFonts w:hint="eastAsia" w:ascii="仿宋_GB2312" w:hAnsi="仿宋_GB2312" w:eastAsia="仿宋_GB2312" w:cs="仿宋_GB2312"/>
          <w:color w:val="auto"/>
          <w:sz w:val="32"/>
          <w:szCs w:val="32"/>
        </w:rPr>
        <w:t>主要包括公共英语和税收专业英语的听、读、写、译等应用能力掌握情况。</w:t>
      </w:r>
    </w:p>
    <w:p w14:paraId="501C0B31">
      <w:pPr>
        <w:keepNext w:val="0"/>
        <w:keepLines w:val="0"/>
        <w:pageBreakBefore w:val="0"/>
        <w:widowControl w:val="0"/>
        <w:kinsoku/>
        <w:wordWrap/>
        <w:topLinePunct w:val="0"/>
        <w:bidi w:val="0"/>
        <w:snapToGrid/>
        <w:spacing w:afterLines="0" w:line="600" w:lineRule="exact"/>
        <w:ind w:firstLine="640" w:firstLineChars="200"/>
        <w:jc w:val="both"/>
        <w:rPr>
          <w:rFonts w:ascii="黑体" w:hAnsi="黑体" w:eastAsia="黑体" w:cs="仿宋_GB2312"/>
          <w:color w:val="auto"/>
          <w:sz w:val="32"/>
          <w:szCs w:val="32"/>
        </w:rPr>
      </w:pPr>
      <w:r>
        <w:rPr>
          <w:rFonts w:hint="eastAsia" w:ascii="黑体" w:hAnsi="黑体" w:eastAsia="黑体" w:cs="仿宋_GB2312"/>
          <w:color w:val="auto"/>
          <w:sz w:val="32"/>
          <w:szCs w:val="32"/>
        </w:rPr>
        <w:t>五、面试内容</w:t>
      </w:r>
    </w:p>
    <w:p w14:paraId="0DEAC2A9">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面试主要根据习近平新时代中国特色社会主义思想和党中央</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国务院重大决策部署，围绕</w:t>
      </w:r>
      <w:r>
        <w:rPr>
          <w:rFonts w:hint="eastAsia" w:ascii="仿宋_GB2312" w:hAnsi="仿宋_GB2312" w:eastAsia="仿宋_GB2312" w:cs="仿宋_GB2312"/>
          <w:color w:val="auto"/>
          <w:sz w:val="32"/>
          <w:szCs w:val="32"/>
          <w:lang w:eastAsia="zh-CN"/>
        </w:rPr>
        <w:t>高质量推进中国式现代化税务实践的</w:t>
      </w:r>
      <w:r>
        <w:rPr>
          <w:rFonts w:hint="eastAsia" w:ascii="仿宋_GB2312" w:hAnsi="仿宋_GB2312" w:eastAsia="仿宋_GB2312" w:cs="仿宋_GB2312"/>
          <w:color w:val="auto"/>
          <w:sz w:val="32"/>
          <w:szCs w:val="32"/>
        </w:rPr>
        <w:t>重要目标任务、税务综合管理、税费业务、税收信息化重点工作开展情况，结合实际工作中可能发生的问题，设定情境和考点，重点考察考生的</w:t>
      </w:r>
      <w:r>
        <w:rPr>
          <w:rFonts w:hint="eastAsia" w:ascii="仿宋_GB2312" w:hAnsi="仿宋_GB2312" w:eastAsia="仿宋_GB2312" w:cs="仿宋_GB2312"/>
          <w:color w:val="auto"/>
          <w:sz w:val="32"/>
          <w:szCs w:val="32"/>
          <w:lang w:eastAsia="zh-CN"/>
        </w:rPr>
        <w:t>政治能力、</w:t>
      </w:r>
      <w:r>
        <w:rPr>
          <w:rFonts w:hint="eastAsia" w:ascii="仿宋_GB2312" w:hAnsi="仿宋_GB2312" w:eastAsia="仿宋_GB2312" w:cs="仿宋_GB2312"/>
          <w:color w:val="auto"/>
          <w:sz w:val="32"/>
          <w:szCs w:val="32"/>
        </w:rPr>
        <w:t>团队协作能力、应急处突能力、带队攻坚能力、决策</w:t>
      </w:r>
      <w:r>
        <w:rPr>
          <w:rFonts w:hint="eastAsia" w:ascii="仿宋_GB2312" w:hAnsi="仿宋_GB2312" w:eastAsia="仿宋_GB2312" w:cs="仿宋_GB2312"/>
          <w:color w:val="auto"/>
          <w:sz w:val="32"/>
          <w:szCs w:val="32"/>
          <w:lang w:eastAsia="zh-CN"/>
        </w:rPr>
        <w:t>分析</w:t>
      </w:r>
      <w:r>
        <w:rPr>
          <w:rFonts w:hint="eastAsia" w:ascii="仿宋_GB2312" w:hAnsi="仿宋_GB2312" w:eastAsia="仿宋_GB2312" w:cs="仿宋_GB2312"/>
          <w:color w:val="auto"/>
          <w:sz w:val="32"/>
          <w:szCs w:val="32"/>
        </w:rPr>
        <w:t>能力、沟通协调能力、语言表达能力、相关专业能力等。</w:t>
      </w:r>
    </w:p>
    <w:p w14:paraId="7B5CD7D3">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sz w:val="32"/>
          <w:szCs w:val="32"/>
        </w:rPr>
      </w:pPr>
    </w:p>
    <w:p w14:paraId="72E78340">
      <w:pPr>
        <w:keepNext w:val="0"/>
        <w:keepLines w:val="0"/>
        <w:pageBreakBefore w:val="0"/>
        <w:widowControl w:val="0"/>
        <w:kinsoku/>
        <w:wordWrap/>
        <w:topLinePunct w:val="0"/>
        <w:bidi w:val="0"/>
        <w:spacing w:afterLines="0" w:line="600" w:lineRule="exact"/>
        <w:jc w:val="center"/>
        <w:rPr>
          <w:rFonts w:hint="eastAsia" w:ascii="方正小标宋简体" w:eastAsia="方正小标宋简体"/>
          <w:color w:val="auto"/>
          <w:sz w:val="36"/>
          <w:szCs w:val="36"/>
        </w:rPr>
      </w:pPr>
      <w:r>
        <w:rPr>
          <w:rFonts w:hint="eastAsia" w:ascii="方正小标宋简体" w:hAnsi="宋体" w:eastAsia="方正小标宋简体" w:cs="方正小标宋简体"/>
          <w:color w:val="auto"/>
          <w:sz w:val="36"/>
          <w:szCs w:val="36"/>
        </w:rPr>
        <w:t>第一部分</w:t>
      </w:r>
      <w:r>
        <w:rPr>
          <w:rFonts w:ascii="方正小标宋简体" w:hAnsi="宋体" w:eastAsia="方正小标宋简体" w:cs="方正小标宋简体"/>
          <w:color w:val="auto"/>
          <w:sz w:val="36"/>
          <w:szCs w:val="36"/>
        </w:rPr>
        <w:t xml:space="preserve">  </w:t>
      </w:r>
      <w:r>
        <w:rPr>
          <w:rFonts w:hint="eastAsia" w:ascii="方正小标宋简体" w:hAnsi="宋体" w:eastAsia="方正小标宋简体" w:cs="方正小标宋简体"/>
          <w:color w:val="auto"/>
          <w:sz w:val="36"/>
          <w:szCs w:val="36"/>
        </w:rPr>
        <w:t>综合知识</w:t>
      </w:r>
    </w:p>
    <w:p w14:paraId="6FA049CA">
      <w:pPr>
        <w:keepNext w:val="0"/>
        <w:keepLines w:val="0"/>
        <w:pageBreakBefore w:val="0"/>
        <w:widowControl w:val="0"/>
        <w:kinsoku/>
        <w:wordWrap/>
        <w:topLinePunct w:val="0"/>
        <w:bidi w:val="0"/>
        <w:spacing w:afterLines="0" w:line="600" w:lineRule="exact"/>
        <w:jc w:val="center"/>
        <w:rPr>
          <w:rFonts w:ascii="楷体_GB2312" w:hAnsi="华文楷体" w:eastAsia="楷体_GB2312"/>
          <w:color w:val="auto"/>
          <w:sz w:val="28"/>
          <w:szCs w:val="28"/>
        </w:rPr>
      </w:pPr>
      <w:r>
        <w:rPr>
          <w:rFonts w:hint="eastAsia" w:ascii="楷体_GB2312" w:hAnsi="华文楷体" w:eastAsia="楷体_GB2312" w:cs="楷体_GB2312"/>
          <w:color w:val="auto"/>
          <w:sz w:val="28"/>
          <w:szCs w:val="28"/>
        </w:rPr>
        <w:t>（适用于所有专业方向）</w:t>
      </w:r>
    </w:p>
    <w:p w14:paraId="755B4CA7">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一、政治</w:t>
      </w:r>
    </w:p>
    <w:p w14:paraId="48CA1205">
      <w:pPr>
        <w:keepNext w:val="0"/>
        <w:keepLines w:val="0"/>
        <w:pageBreakBefore w:val="0"/>
        <w:widowControl/>
        <w:kinsoku/>
        <w:wordWrap/>
        <w:topLinePunct w:val="0"/>
        <w:bidi w:val="0"/>
        <w:spacing w:line="240" w:lineRule="auto"/>
        <w:ind w:firstLine="640" w:firstLineChars="200"/>
        <w:jc w:val="lef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主要包括：（1）习近平新时代中国特色社会主义思想</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习近平总书记关于税收工作的重要论述</w:t>
      </w:r>
      <w:r>
        <w:rPr>
          <w:rFonts w:hint="eastAsia" w:ascii="仿宋_GB2312" w:hAnsi="仿宋_GB2312" w:eastAsia="仿宋_GB2312" w:cs="仿宋_GB2312"/>
          <w:i w:val="0"/>
          <w:caps w:val="0"/>
          <w:color w:val="000000"/>
          <w:spacing w:val="0"/>
          <w:kern w:val="0"/>
          <w:sz w:val="32"/>
          <w:szCs w:val="32"/>
          <w:shd w:val="clear" w:color="auto" w:fill="FFFFFF"/>
          <w:lang w:val="en-US" w:eastAsia="zh-CN" w:bidi="ar"/>
        </w:rPr>
        <w:t>和重要指示批示精神，习近平总书记</w:t>
      </w:r>
      <w:r>
        <w:rPr>
          <w:rFonts w:hint="eastAsia" w:ascii="仿宋_GB2312" w:hAnsi="仿宋_GB2312" w:eastAsia="仿宋_GB2312" w:cs="仿宋_GB2312"/>
          <w:color w:val="auto"/>
          <w:sz w:val="32"/>
          <w:szCs w:val="32"/>
          <w:lang w:eastAsia="zh-CN"/>
        </w:rPr>
        <w:t>近期</w:t>
      </w:r>
      <w:r>
        <w:rPr>
          <w:rFonts w:hint="eastAsia" w:ascii="仿宋_GB2312" w:hAnsi="仿宋_GB2312" w:eastAsia="仿宋_GB2312" w:cs="仿宋_GB2312"/>
          <w:color w:val="auto"/>
          <w:sz w:val="32"/>
          <w:szCs w:val="32"/>
        </w:rPr>
        <w:t>重要讲话</w:t>
      </w:r>
      <w:r>
        <w:rPr>
          <w:rFonts w:hint="eastAsia" w:ascii="仿宋_GB2312" w:hAnsi="仿宋_GB2312" w:eastAsia="仿宋_GB2312" w:cs="仿宋_GB2312"/>
          <w:color w:val="auto"/>
          <w:sz w:val="32"/>
          <w:szCs w:val="32"/>
          <w:lang w:eastAsia="zh-CN"/>
        </w:rPr>
        <w:t>、指示、批示</w:t>
      </w:r>
      <w:r>
        <w:rPr>
          <w:rFonts w:hint="eastAsia" w:ascii="仿宋_GB2312" w:hAnsi="仿宋_GB2312" w:eastAsia="仿宋_GB2312" w:cs="仿宋_GB2312"/>
          <w:color w:val="auto"/>
          <w:sz w:val="32"/>
          <w:szCs w:val="32"/>
        </w:rPr>
        <w:t>精神；</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马克思列宁主义、毛泽东思想、邓小平理论、“三个代表”重要思想、科学发展观</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（3）哲学；（4）中国共产党党史；（5）</w:t>
      </w:r>
      <w:r>
        <w:rPr>
          <w:rFonts w:hint="eastAsia" w:ascii="仿宋_GB2312" w:hAnsi="仿宋_GB2312" w:eastAsia="仿宋_GB2312" w:cs="仿宋_GB2312"/>
          <w:color w:val="auto"/>
          <w:sz w:val="32"/>
          <w:szCs w:val="32"/>
          <w:lang w:eastAsia="zh-CN"/>
        </w:rPr>
        <w:t>党的建设</w:t>
      </w:r>
      <w:r>
        <w:rPr>
          <w:rFonts w:hint="eastAsia" w:ascii="仿宋_GB2312" w:hAnsi="仿宋_GB2312" w:eastAsia="仿宋_GB2312" w:cs="仿宋_GB2312"/>
          <w:color w:val="auto"/>
          <w:sz w:val="32"/>
          <w:szCs w:val="32"/>
        </w:rPr>
        <w:t>；（6）党和国家</w:t>
      </w:r>
      <w:r>
        <w:rPr>
          <w:rFonts w:hint="eastAsia" w:ascii="仿宋_GB2312" w:hAnsi="仿宋_GB2312" w:eastAsia="仿宋_GB2312" w:cs="仿宋_GB2312"/>
          <w:color w:val="auto"/>
          <w:sz w:val="32"/>
          <w:szCs w:val="32"/>
          <w:lang w:val="en-US" w:eastAsia="zh-CN"/>
        </w:rPr>
        <w:t>路线</w:t>
      </w:r>
      <w:r>
        <w:rPr>
          <w:rFonts w:hint="eastAsia" w:ascii="仿宋_GB2312" w:hAnsi="仿宋_GB2312" w:eastAsia="仿宋_GB2312" w:cs="仿宋_GB2312"/>
          <w:color w:val="auto"/>
          <w:sz w:val="32"/>
          <w:szCs w:val="32"/>
        </w:rPr>
        <w:t>方针政策；（7）</w:t>
      </w:r>
      <w:r>
        <w:rPr>
          <w:rFonts w:hint="eastAsia" w:ascii="仿宋_GB2312" w:hAnsi="仿宋_GB2312" w:eastAsia="仿宋_GB2312" w:cs="仿宋_GB2312"/>
          <w:color w:val="auto"/>
          <w:sz w:val="32"/>
          <w:szCs w:val="32"/>
          <w:lang w:eastAsia="zh-CN"/>
        </w:rPr>
        <w:t>中共中央关于党的百年奋斗重大成就和历史经验的决议；</w:t>
      </w:r>
      <w:r>
        <w:rPr>
          <w:rFonts w:hint="eastAsia" w:ascii="仿宋_GB2312" w:hAnsi="仿宋_GB2312" w:eastAsia="仿宋_GB2312" w:cs="仿宋_GB2312"/>
          <w:color w:val="auto"/>
          <w:sz w:val="32"/>
          <w:szCs w:val="32"/>
        </w:rPr>
        <w:t>（8）</w:t>
      </w:r>
      <w:r>
        <w:rPr>
          <w:rFonts w:hint="eastAsia" w:ascii="仿宋_GB2312" w:hAnsi="仿宋_GB2312" w:eastAsia="仿宋_GB2312" w:cs="仿宋_GB2312"/>
          <w:color w:val="auto"/>
          <w:sz w:val="32"/>
          <w:szCs w:val="32"/>
          <w:lang w:val="en-US" w:eastAsia="zh-CN"/>
        </w:rPr>
        <w:t>党的二十大和二十届一中、二中、三中全会精神</w:t>
      </w:r>
      <w:r>
        <w:rPr>
          <w:rFonts w:hint="eastAsia" w:ascii="仿宋_GB2312" w:hAnsi="仿宋_GB2312" w:eastAsia="仿宋_GB2312" w:cs="仿宋_GB2312"/>
          <w:color w:val="auto"/>
          <w:sz w:val="32"/>
          <w:szCs w:val="32"/>
        </w:rPr>
        <w:t>；（9）党纪学习教育</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国家安全和保密知识；</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11）</w:t>
      </w:r>
      <w:r>
        <w:rPr>
          <w:rFonts w:hint="eastAsia" w:ascii="仿宋_GB2312" w:hAnsi="仿宋_GB2312" w:eastAsia="仿宋_GB2312" w:cs="仿宋_GB2312"/>
          <w:color w:val="auto"/>
          <w:sz w:val="32"/>
          <w:szCs w:val="32"/>
        </w:rPr>
        <w:t>时事政治。</w:t>
      </w:r>
    </w:p>
    <w:p w14:paraId="44440C69">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二、经济</w:t>
      </w:r>
    </w:p>
    <w:p w14:paraId="0149B730">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主要包括：（1）经济学基本知识；（2）政治经济学；（3）社会主义市场经济体制；（4）经济改革与发展；（5）国际经济。</w:t>
      </w:r>
    </w:p>
    <w:p w14:paraId="0EBDC6BF">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三、法律</w:t>
      </w:r>
    </w:p>
    <w:p w14:paraId="57BEB8E4">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主要包括：（1）法学基础理论；（2）宪法；（3）行政法、刑法、民法、经济法等有关部门法</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4）</w:t>
      </w:r>
      <w:r>
        <w:rPr>
          <w:rFonts w:hint="default" w:ascii="仿宋_GB2312" w:hAnsi="仿宋_GB2312" w:eastAsia="仿宋_GB2312" w:cs="仿宋_GB2312"/>
          <w:color w:val="auto"/>
          <w:sz w:val="32"/>
          <w:szCs w:val="32"/>
        </w:rPr>
        <w:t>税费</w:t>
      </w:r>
      <w:r>
        <w:rPr>
          <w:rFonts w:hint="eastAsia" w:ascii="仿宋_GB2312" w:hAnsi="仿宋_GB2312" w:eastAsia="仿宋_GB2312" w:cs="仿宋_GB2312"/>
          <w:color w:val="auto"/>
          <w:sz w:val="32"/>
          <w:szCs w:val="32"/>
          <w:lang w:eastAsia="zh-CN"/>
        </w:rPr>
        <w:t>相关</w:t>
      </w:r>
      <w:r>
        <w:rPr>
          <w:rFonts w:hint="default" w:ascii="仿宋_GB2312" w:hAnsi="仿宋_GB2312" w:eastAsia="仿宋_GB2312" w:cs="仿宋_GB2312"/>
          <w:color w:val="auto"/>
          <w:sz w:val="32"/>
          <w:szCs w:val="32"/>
        </w:rPr>
        <w:t>法律法规</w:t>
      </w:r>
      <w:r>
        <w:rPr>
          <w:rFonts w:hint="eastAsia" w:ascii="仿宋_GB2312" w:hAnsi="仿宋_GB2312" w:eastAsia="仿宋_GB2312" w:cs="仿宋_GB2312"/>
          <w:color w:val="auto"/>
          <w:sz w:val="32"/>
          <w:szCs w:val="32"/>
          <w:lang w:eastAsia="zh-CN"/>
        </w:rPr>
        <w:t>。</w:t>
      </w:r>
    </w:p>
    <w:p w14:paraId="5A44AF19">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四、管理</w:t>
      </w:r>
    </w:p>
    <w:p w14:paraId="421340C4">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主要包括：（1）公共行政：政府职能、公共财政、公务员制度、行政绩效、行政责任与监督、行政改革与创新；（2）公共政策：公共政策制定、执行与评价；（3）领导科学：领导理论、领导决策、领导方式方法与艺术</w:t>
      </w:r>
      <w:r>
        <w:rPr>
          <w:rFonts w:hint="eastAsia" w:ascii="仿宋_GB2312" w:hAnsi="仿宋_GB2312" w:eastAsia="仿宋_GB2312" w:cs="仿宋_GB2312"/>
          <w:color w:val="auto"/>
          <w:sz w:val="32"/>
          <w:szCs w:val="32"/>
          <w:lang w:eastAsia="zh-CN"/>
        </w:rPr>
        <w:t>、领导能力</w:t>
      </w:r>
      <w:r>
        <w:rPr>
          <w:rFonts w:hint="eastAsia" w:ascii="仿宋_GB2312" w:hAnsi="仿宋_GB2312" w:eastAsia="仿宋_GB2312" w:cs="仿宋_GB2312"/>
          <w:color w:val="auto"/>
          <w:sz w:val="32"/>
          <w:szCs w:val="32"/>
        </w:rPr>
        <w:t>。</w:t>
      </w:r>
    </w:p>
    <w:p w14:paraId="0AEEA39D">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五、科技、历史、文学、国情国力</w:t>
      </w:r>
    </w:p>
    <w:p w14:paraId="7B80F355">
      <w:pPr>
        <w:keepNext w:val="0"/>
        <w:keepLines w:val="0"/>
        <w:pageBreakBefore w:val="0"/>
        <w:widowControl w:val="0"/>
        <w:kinsoku/>
        <w:wordWrap/>
        <w:topLinePunct w:val="0"/>
        <w:bidi w:val="0"/>
        <w:spacing w:afterLines="0" w:line="600" w:lineRule="exact"/>
        <w:ind w:firstLine="640" w:firstLineChars="200"/>
        <w:jc w:val="both"/>
        <w:rPr>
          <w:rFonts w:ascii="仿宋_GB2312" w:hAnsi="宋体" w:eastAsia="仿宋_GB2312"/>
          <w:color w:val="auto"/>
          <w:sz w:val="28"/>
          <w:szCs w:val="28"/>
        </w:rPr>
      </w:pPr>
      <w:r>
        <w:rPr>
          <w:rFonts w:hint="eastAsia" w:ascii="仿宋_GB2312" w:hAnsi="仿宋_GB2312" w:eastAsia="仿宋_GB2312" w:cs="仿宋_GB2312"/>
          <w:color w:val="auto"/>
          <w:sz w:val="32"/>
          <w:szCs w:val="32"/>
        </w:rPr>
        <w:t>主要包括：（1）科技：科学前沿问题、高新技术；（2）</w:t>
      </w:r>
      <w:r>
        <w:rPr>
          <w:rFonts w:hint="eastAsia" w:ascii="仿宋_GB2312" w:hAnsi="仿宋_GB2312" w:eastAsia="仿宋_GB2312" w:cs="仿宋_GB2312"/>
          <w:color w:val="auto"/>
          <w:sz w:val="32"/>
          <w:szCs w:val="32"/>
          <w:lang w:eastAsia="zh-CN"/>
        </w:rPr>
        <w:t>历史：党史、新中国史、改革开放史、社会主义发展史、中华民族发展史</w:t>
      </w:r>
      <w:r>
        <w:rPr>
          <w:rFonts w:hint="eastAsia" w:ascii="仿宋_GB2312" w:hAnsi="仿宋_GB2312" w:eastAsia="仿宋_GB2312" w:cs="仿宋_GB2312"/>
          <w:color w:val="auto"/>
          <w:sz w:val="32"/>
          <w:szCs w:val="32"/>
        </w:rPr>
        <w:t>；（3）文学：</w:t>
      </w:r>
      <w:r>
        <w:rPr>
          <w:rFonts w:hint="eastAsia" w:ascii="仿宋_GB2312" w:hAnsi="仿宋_GB2312" w:eastAsia="仿宋_GB2312" w:cs="仿宋_GB2312"/>
          <w:color w:val="auto"/>
          <w:sz w:val="32"/>
          <w:szCs w:val="32"/>
          <w:lang w:eastAsia="zh-CN"/>
        </w:rPr>
        <w:t>文学素养、</w:t>
      </w:r>
      <w:r>
        <w:rPr>
          <w:rFonts w:hint="eastAsia" w:ascii="仿宋_GB2312" w:hAnsi="仿宋_GB2312" w:eastAsia="仿宋_GB2312" w:cs="仿宋_GB2312"/>
          <w:color w:val="auto"/>
          <w:sz w:val="32"/>
          <w:szCs w:val="32"/>
        </w:rPr>
        <w:t>古今中外文学代表作品；（4）国情国力。</w:t>
      </w:r>
    </w:p>
    <w:p w14:paraId="403ECC99">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六、公文</w:t>
      </w:r>
    </w:p>
    <w:p w14:paraId="17F339CD">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主要包括：公文写作、公文处理。</w:t>
      </w:r>
    </w:p>
    <w:p w14:paraId="6D9DE40D">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七、税收公共知识</w:t>
      </w:r>
    </w:p>
    <w:p w14:paraId="25DB0BAC">
      <w:pPr>
        <w:keepNext w:val="0"/>
        <w:keepLines w:val="0"/>
        <w:pageBreakBefore w:val="0"/>
        <w:widowControl w:val="0"/>
        <w:kinsoku/>
        <w:wordWrap/>
        <w:topLinePunct w:val="0"/>
        <w:bidi w:val="0"/>
        <w:spacing w:afterLines="0" w:line="600" w:lineRule="exact"/>
        <w:ind w:firstLine="640" w:firstLineChars="200"/>
      </w:pPr>
      <w:r>
        <w:rPr>
          <w:rFonts w:hint="eastAsia" w:ascii="仿宋_GB2312" w:hAnsi="仿宋_GB2312" w:eastAsia="仿宋_GB2312" w:cs="仿宋_GB2312"/>
          <w:sz w:val="32"/>
          <w:szCs w:val="32"/>
        </w:rPr>
        <w:t>主要包括：（</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）税务综合知识：《关于进一步深化税收征管改革的意见》</w:t>
      </w:r>
      <w:r>
        <w:rPr>
          <w:rFonts w:hint="eastAsia" w:ascii="仿宋_GB2312" w:hAnsi="仿宋_GB2312" w:eastAsia="仿宋_GB2312" w:cs="仿宋_GB2312"/>
          <w:sz w:val="32"/>
          <w:szCs w:val="32"/>
          <w:lang w:eastAsia="zh-CN"/>
        </w:rPr>
        <w:t>落实、税务知识</w:t>
      </w:r>
      <w:r>
        <w:rPr>
          <w:rFonts w:hint="eastAsia" w:ascii="仿宋_GB2312" w:hAnsi="仿宋_GB2312" w:eastAsia="仿宋_GB2312" w:cs="仿宋_GB2312"/>
          <w:sz w:val="32"/>
          <w:szCs w:val="32"/>
        </w:rPr>
        <w:t>、依法行政、党务管理、政务管理、干部管理、监督管理、财务管理、政府采购管理、事务管理等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税费业务知识：依法治税、税费政策（含国际税收）、税费征管、税费服务、结构性减税降费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收入规划核算、大企业税收服务和管理、风险管理和税务稽查等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税收信息化知识：</w:t>
      </w:r>
      <w:r>
        <w:rPr>
          <w:rFonts w:hint="eastAsia" w:ascii="仿宋_GB2312" w:hAnsi="仿宋_GB2312" w:eastAsia="仿宋_GB2312" w:cs="仿宋_GB2312"/>
          <w:sz w:val="32"/>
          <w:szCs w:val="32"/>
          <w:lang w:eastAsia="zh-CN"/>
        </w:rPr>
        <w:t>金税四期建设、税收数字化转型</w:t>
      </w:r>
      <w:r>
        <w:rPr>
          <w:rFonts w:hint="eastAsia" w:ascii="仿宋_GB2312" w:hAnsi="仿宋_GB2312" w:eastAsia="仿宋_GB2312" w:cs="仿宋_GB2312"/>
          <w:sz w:val="32"/>
          <w:szCs w:val="32"/>
        </w:rPr>
        <w:t>、信息化项目规划建设、基础设施建设、软硬件设施运维、网络和数据安全、税收大数据分析与应用等。</w:t>
      </w:r>
    </w:p>
    <w:p w14:paraId="0B8050E6">
      <w:pPr>
        <w:keepNext w:val="0"/>
        <w:keepLines w:val="0"/>
        <w:pageBreakBefore w:val="0"/>
        <w:widowControl w:val="0"/>
        <w:kinsoku/>
        <w:wordWrap/>
        <w:overflowPunct/>
        <w:topLinePunct w:val="0"/>
        <w:autoSpaceDE/>
        <w:autoSpaceDN/>
        <w:bidi w:val="0"/>
        <w:spacing w:afterLines="0" w:line="600" w:lineRule="exact"/>
        <w:jc w:val="center"/>
        <w:textAlignment w:val="auto"/>
        <w:rPr>
          <w:rFonts w:hint="eastAsia" w:ascii="方正小标宋简体" w:hAnsi="宋体" w:eastAsia="方正小标宋简体" w:cs="方正小标宋简体"/>
          <w:color w:val="auto"/>
          <w:sz w:val="36"/>
          <w:szCs w:val="36"/>
        </w:rPr>
      </w:pPr>
    </w:p>
    <w:p w14:paraId="79393602">
      <w:pPr>
        <w:keepNext w:val="0"/>
        <w:keepLines w:val="0"/>
        <w:pageBreakBefore w:val="0"/>
        <w:widowControl w:val="0"/>
        <w:kinsoku/>
        <w:wordWrap/>
        <w:overflowPunct/>
        <w:topLinePunct w:val="0"/>
        <w:autoSpaceDE/>
        <w:autoSpaceDN/>
        <w:bidi w:val="0"/>
        <w:adjustRightInd/>
        <w:snapToGrid/>
        <w:spacing w:afterLines="0" w:line="600" w:lineRule="exact"/>
        <w:jc w:val="center"/>
        <w:textAlignment w:val="auto"/>
        <w:rPr>
          <w:rFonts w:hint="eastAsia" w:ascii="方正小标宋简体" w:hAnsi="宋体" w:eastAsia="方正小标宋简体"/>
          <w:color w:val="auto"/>
          <w:sz w:val="36"/>
          <w:szCs w:val="36"/>
          <w:lang w:eastAsia="zh-CN"/>
        </w:rPr>
      </w:pPr>
      <w:r>
        <w:rPr>
          <w:rFonts w:hint="eastAsia" w:ascii="方正小标宋简体" w:hAnsi="宋体" w:eastAsia="方正小标宋简体" w:cs="方正小标宋简体"/>
          <w:color w:val="auto"/>
          <w:sz w:val="36"/>
          <w:szCs w:val="36"/>
        </w:rPr>
        <w:t>第</w:t>
      </w:r>
      <w:r>
        <w:rPr>
          <w:rFonts w:hint="eastAsia" w:ascii="方正小标宋简体" w:hAnsi="宋体" w:eastAsia="方正小标宋简体" w:cs="方正小标宋简体"/>
          <w:color w:val="auto"/>
          <w:sz w:val="36"/>
          <w:szCs w:val="36"/>
          <w:lang w:eastAsia="zh-CN"/>
        </w:rPr>
        <w:t>二</w:t>
      </w:r>
      <w:r>
        <w:rPr>
          <w:rFonts w:hint="eastAsia" w:ascii="方正小标宋简体" w:hAnsi="宋体" w:eastAsia="方正小标宋简体" w:cs="方正小标宋简体"/>
          <w:color w:val="auto"/>
          <w:sz w:val="36"/>
          <w:szCs w:val="36"/>
        </w:rPr>
        <w:t>部分</w:t>
      </w:r>
      <w:r>
        <w:rPr>
          <w:rFonts w:ascii="方正小标宋简体" w:hAnsi="宋体" w:eastAsia="方正小标宋简体" w:cs="方正小标宋简体"/>
          <w:color w:val="auto"/>
          <w:sz w:val="36"/>
          <w:szCs w:val="36"/>
        </w:rPr>
        <w:t xml:space="preserve">  </w:t>
      </w:r>
      <w:r>
        <w:rPr>
          <w:rFonts w:hint="eastAsia" w:ascii="方正小标宋简体" w:hAnsi="宋体" w:eastAsia="方正小标宋简体" w:cs="方正小标宋简体"/>
          <w:color w:val="auto"/>
          <w:sz w:val="36"/>
          <w:szCs w:val="36"/>
        </w:rPr>
        <w:t>税费业务专业</w:t>
      </w:r>
      <w:r>
        <w:rPr>
          <w:rFonts w:hint="eastAsia" w:ascii="方正小标宋简体" w:hAnsi="宋体" w:eastAsia="方正小标宋简体" w:cs="方正小标宋简体"/>
          <w:color w:val="auto"/>
          <w:sz w:val="36"/>
          <w:szCs w:val="36"/>
          <w:lang w:eastAsia="zh-CN"/>
        </w:rPr>
        <w:t>知识</w:t>
      </w:r>
    </w:p>
    <w:p w14:paraId="273C389D">
      <w:pPr>
        <w:keepNext w:val="0"/>
        <w:keepLines w:val="0"/>
        <w:pageBreakBefore w:val="0"/>
        <w:widowControl w:val="0"/>
        <w:kinsoku/>
        <w:wordWrap/>
        <w:overflowPunct/>
        <w:topLinePunct w:val="0"/>
        <w:autoSpaceDE/>
        <w:autoSpaceDN/>
        <w:bidi w:val="0"/>
        <w:adjustRightInd/>
        <w:snapToGrid/>
        <w:spacing w:afterLines="0" w:line="600" w:lineRule="exact"/>
        <w:jc w:val="center"/>
        <w:textAlignment w:val="auto"/>
        <w:rPr>
          <w:rFonts w:hint="eastAsia" w:ascii="楷体_GB2312" w:hAnsi="宋体" w:eastAsia="楷体_GB2312" w:cs="楷体_GB2312"/>
          <w:color w:val="auto"/>
          <w:sz w:val="28"/>
          <w:szCs w:val="28"/>
          <w:lang w:eastAsia="zh-CN"/>
        </w:rPr>
      </w:pPr>
      <w:r>
        <w:rPr>
          <w:rFonts w:hint="eastAsia" w:ascii="楷体_GB2312" w:hAnsi="宋体" w:eastAsia="楷体_GB2312" w:cs="楷体_GB2312"/>
          <w:color w:val="auto"/>
          <w:sz w:val="28"/>
          <w:szCs w:val="28"/>
          <w:lang w:eastAsia="zh-CN"/>
        </w:rPr>
        <w:t>（</w:t>
      </w:r>
      <w:r>
        <w:rPr>
          <w:rFonts w:hint="eastAsia" w:ascii="楷体_GB2312" w:hAnsi="宋体" w:eastAsia="楷体_GB2312" w:cs="楷体_GB2312"/>
          <w:color w:val="auto"/>
          <w:sz w:val="28"/>
          <w:szCs w:val="28"/>
        </w:rPr>
        <w:t>适用于</w:t>
      </w:r>
      <w:r>
        <w:rPr>
          <w:rFonts w:hint="eastAsia" w:ascii="楷体_GB2312" w:hAnsi="宋体" w:eastAsia="楷体_GB2312" w:cs="楷体_GB2312"/>
          <w:color w:val="auto"/>
          <w:sz w:val="28"/>
          <w:szCs w:val="28"/>
          <w:lang w:eastAsia="zh-CN"/>
        </w:rPr>
        <w:t>税政管理、社保非税、税源管理、税务稽查方向）</w:t>
      </w:r>
    </w:p>
    <w:p w14:paraId="5E9EA28C">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b w:val="0"/>
          <w:bCs w:val="0"/>
          <w:color w:val="auto"/>
          <w:sz w:val="32"/>
          <w:szCs w:val="32"/>
          <w:lang w:eastAsia="zh-CN"/>
        </w:rPr>
      </w:pPr>
      <w:r>
        <w:rPr>
          <w:rFonts w:hint="eastAsia" w:ascii="黑体" w:hAnsi="黑体" w:eastAsia="黑体" w:cs="黑体"/>
          <w:color w:val="auto"/>
          <w:sz w:val="32"/>
          <w:szCs w:val="32"/>
          <w:lang w:eastAsia="zh-CN"/>
        </w:rPr>
        <w:t>一、税政管理方向</w:t>
      </w:r>
      <w:r>
        <w:rPr>
          <w:rFonts w:hint="eastAsia" w:ascii="仿宋_GB2312" w:hAnsi="仿宋_GB2312" w:eastAsia="仿宋_GB2312" w:cs="仿宋_GB2312"/>
          <w:b w:val="0"/>
          <w:bCs w:val="0"/>
          <w:color w:val="auto"/>
          <w:sz w:val="32"/>
          <w:szCs w:val="32"/>
          <w:lang w:eastAsia="zh-CN"/>
        </w:rPr>
        <w:t>（增值税、绿色税收和国际税收管理）</w:t>
      </w:r>
    </w:p>
    <w:p w14:paraId="50F983F5">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（一）专业通识</w:t>
      </w:r>
    </w:p>
    <w:p w14:paraId="04829862">
      <w:pPr>
        <w:pStyle w:val="2"/>
        <w:spacing w:afterLines="0" w:line="600" w:lineRule="exact"/>
        <w:ind w:firstLine="640" w:firstLineChars="200"/>
        <w:rPr>
          <w:rFonts w:hint="eastAsia"/>
          <w:lang w:val="en-US" w:eastAsia="zh-CN"/>
        </w:rPr>
      </w:pPr>
      <w:r>
        <w:rPr>
          <w:rFonts w:hint="eastAsia" w:ascii="仿宋_GB2312" w:hAnsi="仿宋_GB2312" w:eastAsia="仿宋_GB2312" w:cs="仿宋_GB2312"/>
          <w:color w:val="auto"/>
          <w:sz w:val="32"/>
          <w:szCs w:val="32"/>
          <w:highlight w:val="none"/>
          <w:lang w:eastAsia="zh-CN"/>
        </w:rPr>
        <w:t>主要包括：（</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w:t>
      </w:r>
      <w:bookmarkStart w:id="0" w:name="_GoBack"/>
      <w:bookmarkEnd w:id="0"/>
      <w:r>
        <w:rPr>
          <w:rFonts w:hint="eastAsia" w:ascii="仿宋_GB2312" w:hAnsi="仿宋_GB2312" w:eastAsia="仿宋_GB2312" w:cs="仿宋_GB2312"/>
          <w:color w:val="000000"/>
          <w:sz w:val="32"/>
          <w:szCs w:val="32"/>
          <w:highlight w:val="none"/>
          <w:lang w:eastAsia="zh-CN"/>
        </w:rPr>
        <w:t>党中央、国务院关</w:t>
      </w:r>
      <w:r>
        <w:rPr>
          <w:rFonts w:hint="eastAsia" w:ascii="仿宋_GB2312" w:hAnsi="仿宋_GB2312" w:eastAsia="仿宋_GB2312" w:cs="仿宋_GB2312"/>
          <w:color w:val="auto"/>
          <w:sz w:val="32"/>
          <w:szCs w:val="32"/>
          <w:highlight w:val="none"/>
          <w:lang w:eastAsia="zh-CN"/>
        </w:rPr>
        <w:t>于</w:t>
      </w:r>
      <w:r>
        <w:rPr>
          <w:rFonts w:hint="eastAsia" w:ascii="仿宋_GB2312" w:hAnsi="仿宋_GB2312" w:eastAsia="仿宋_GB2312" w:cs="仿宋_GB2312"/>
          <w:color w:val="auto"/>
          <w:spacing w:val="0"/>
          <w:sz w:val="32"/>
          <w:szCs w:val="32"/>
          <w:highlight w:val="none"/>
          <w:u w:val="none"/>
          <w:lang w:val="en-US" w:eastAsia="zh-CN"/>
        </w:rPr>
        <w:t>税收政策</w:t>
      </w:r>
      <w:r>
        <w:rPr>
          <w:rFonts w:hint="eastAsia" w:ascii="仿宋_GB2312" w:hAnsi="仿宋_GB2312" w:eastAsia="仿宋_GB2312" w:cs="仿宋_GB2312"/>
          <w:color w:val="auto"/>
          <w:sz w:val="32"/>
          <w:szCs w:val="32"/>
          <w:highlight w:val="none"/>
          <w:lang w:eastAsia="zh-CN"/>
        </w:rPr>
        <w:t>的重要</w:t>
      </w:r>
      <w:r>
        <w:rPr>
          <w:rFonts w:hint="eastAsia" w:ascii="仿宋_GB2312" w:hAnsi="仿宋_GB2312" w:eastAsia="仿宋_GB2312" w:cs="仿宋_GB2312"/>
          <w:color w:val="000000"/>
          <w:sz w:val="32"/>
          <w:szCs w:val="32"/>
          <w:highlight w:val="none"/>
          <w:lang w:eastAsia="zh-CN"/>
        </w:rPr>
        <w:t>会议精神和重要文件；</w:t>
      </w:r>
      <w:r>
        <w:rPr>
          <w:rFonts w:hint="eastAsia" w:ascii="仿宋_GB2312" w:hAnsi="仿宋_GB2312" w:eastAsia="仿宋_GB2312" w:cs="仿宋_GB2312"/>
          <w:color w:val="auto"/>
          <w:spacing w:val="0"/>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中国税制基础知识及税制改革；（</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）增值税、消费税、车辆购置税以及财产行为税类税种相关政策和征管制度</w:t>
      </w:r>
      <w:r>
        <w:rPr>
          <w:rFonts w:hint="eastAsia" w:ascii="仿宋_GB2312" w:hAnsi="仿宋_GB2312" w:eastAsia="仿宋_GB2312" w:cs="仿宋_GB2312"/>
          <w:color w:val="auto"/>
          <w:sz w:val="32"/>
          <w:szCs w:val="32"/>
          <w:highlight w:val="none"/>
          <w:lang w:val="en-US" w:eastAsia="zh-CN"/>
        </w:rPr>
        <w:t>;</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lang w:eastAsia="zh-CN"/>
        </w:rPr>
        <w:t>）国际税收业务知识及</w:t>
      </w:r>
      <w:r>
        <w:rPr>
          <w:rFonts w:hint="eastAsia" w:ascii="仿宋_GB2312" w:eastAsia="仿宋_GB2312" w:cs="仿宋_GB2312"/>
          <w:color w:val="000000"/>
          <w:sz w:val="32"/>
          <w:szCs w:val="32"/>
          <w:highlight w:val="none"/>
        </w:rPr>
        <w:t>国际税改</w:t>
      </w:r>
      <w:r>
        <w:rPr>
          <w:rFonts w:hint="eastAsia" w:ascii="仿宋_GB2312" w:eastAsia="仿宋_GB2312" w:cs="仿宋_GB2312"/>
          <w:color w:val="000000"/>
          <w:sz w:val="32"/>
          <w:szCs w:val="32"/>
          <w:highlight w:val="none"/>
          <w:lang w:eastAsia="zh-CN"/>
        </w:rPr>
        <w:t>等前沿问题</w:t>
      </w:r>
      <w:r>
        <w:rPr>
          <w:rFonts w:hint="eastAsia" w:ascii="仿宋_GB2312" w:eastAsia="仿宋_GB2312" w:cs="仿宋_GB2312"/>
          <w:color w:val="000000"/>
          <w:sz w:val="32"/>
          <w:szCs w:val="32"/>
          <w:highlight w:val="none"/>
        </w:rPr>
        <w:t>。</w:t>
      </w:r>
    </w:p>
    <w:p w14:paraId="46C5BB37">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（二）增值税管理</w:t>
      </w:r>
    </w:p>
    <w:p w14:paraId="39BAB042">
      <w:pPr>
        <w:pStyle w:val="2"/>
        <w:spacing w:afterLines="0" w:line="60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主要包括</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增值税基本税制要素；（2）增值税重点政策管理；（3）增值税征收管理（包括发票和风险管理）。</w:t>
      </w:r>
    </w:p>
    <w:p w14:paraId="44E97ACE">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（三）绿色税收管理</w:t>
      </w:r>
    </w:p>
    <w:p w14:paraId="67CB5B33">
      <w:pPr>
        <w:pStyle w:val="2"/>
        <w:spacing w:afterLines="0" w:line="60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主要包括：（1）资源环境税重点政策；（2）资源环境税征收管理与部门协作；（</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rPr>
        <w:t>）碳税等国际税收前沿问题</w:t>
      </w:r>
      <w:r>
        <w:rPr>
          <w:rFonts w:hint="eastAsia" w:ascii="仿宋_GB2312" w:hAnsi="仿宋_GB2312" w:eastAsia="仿宋_GB2312" w:cs="仿宋_GB2312"/>
          <w:color w:val="000000"/>
          <w:sz w:val="32"/>
          <w:szCs w:val="32"/>
          <w:lang w:eastAsia="zh-CN"/>
        </w:rPr>
        <w:t>。</w:t>
      </w:r>
    </w:p>
    <w:p w14:paraId="7BB72723">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（四）国际税收管理</w:t>
      </w:r>
    </w:p>
    <w:p w14:paraId="1BF19F57">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lang w:eastAsia="zh-CN"/>
        </w:rPr>
      </w:pPr>
      <w:r>
        <w:rPr>
          <w:rFonts w:hint="eastAsia" w:ascii="仿宋_GB2312" w:hAnsi="仿宋_GB2312" w:eastAsia="仿宋_GB2312" w:cs="仿宋_GB2312"/>
          <w:color w:val="000000"/>
          <w:sz w:val="32"/>
          <w:szCs w:val="32"/>
        </w:rPr>
        <w:t>主要包括：</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）特别纳税调整和一般反避税管理</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lang w:eastAsia="zh-CN"/>
        </w:rPr>
        <w:t>）非居民税收管理；（</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税收协定</w:t>
      </w:r>
      <w:r>
        <w:rPr>
          <w:rFonts w:hint="eastAsia" w:ascii="仿宋_GB2312" w:hAnsi="仿宋_GB2312" w:eastAsia="仿宋_GB2312" w:cs="仿宋_GB2312"/>
          <w:color w:val="000000"/>
          <w:sz w:val="32"/>
          <w:szCs w:val="32"/>
          <w:lang w:eastAsia="zh-CN"/>
        </w:rPr>
        <w:t>和国际税收征管协作；（</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lang w:eastAsia="zh-CN"/>
        </w:rPr>
        <w:t>）“双支柱”国际税改等前沿问题</w:t>
      </w:r>
      <w:r>
        <w:rPr>
          <w:rFonts w:hint="eastAsia" w:ascii="仿宋_GB2312" w:hAnsi="仿宋_GB2312" w:eastAsia="仿宋_GB2312" w:cs="仿宋_GB2312"/>
          <w:color w:val="auto"/>
          <w:sz w:val="32"/>
          <w:szCs w:val="32"/>
          <w:lang w:val="en-US" w:eastAsia="zh-CN"/>
        </w:rPr>
        <w:t>。</w:t>
      </w:r>
    </w:p>
    <w:p w14:paraId="2B107657">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二、社保非税方向</w:t>
      </w:r>
    </w:p>
    <w:p w14:paraId="2FC7510D">
      <w:pPr>
        <w:keepNext w:val="0"/>
        <w:keepLines w:val="0"/>
        <w:pageBreakBefore w:val="0"/>
        <w:widowControl w:val="0"/>
        <w:kinsoku/>
        <w:wordWrap/>
        <w:topLinePunct w:val="0"/>
        <w:bidi w:val="0"/>
        <w:spacing w:afterLines="0" w:line="600" w:lineRule="exact"/>
        <w:ind w:firstLine="640" w:firstLineChars="200"/>
        <w:jc w:val="both"/>
        <w:rPr>
          <w:rFonts w:hint="eastAsia" w:ascii="楷体_GB2312" w:hAnsi="楷体_GB2312" w:eastAsia="楷体_GB2312" w:cs="楷体_GB2312"/>
          <w:color w:val="auto"/>
          <w:kern w:val="0"/>
          <w:sz w:val="32"/>
          <w:szCs w:val="32"/>
          <w:lang w:val="en-US" w:eastAsia="zh-CN"/>
        </w:rPr>
      </w:pPr>
      <w:r>
        <w:rPr>
          <w:rFonts w:hint="eastAsia" w:ascii="楷体_GB2312" w:hAnsi="楷体_GB2312" w:eastAsia="楷体_GB2312" w:cs="楷体_GB2312"/>
          <w:color w:val="auto"/>
          <w:kern w:val="0"/>
          <w:sz w:val="32"/>
          <w:szCs w:val="32"/>
          <w:lang w:val="en-US" w:eastAsia="zh-CN"/>
        </w:rPr>
        <w:t>（一）专业通识</w:t>
      </w:r>
    </w:p>
    <w:p w14:paraId="7A30601B">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Times New Roman" w:eastAsia="仿宋_GB2312" w:cs="Times New Roman"/>
          <w:b w:val="0"/>
          <w:bCs w:val="0"/>
          <w:sz w:val="32"/>
          <w:szCs w:val="32"/>
          <w:lang w:val="en-US" w:eastAsia="zh-CN"/>
        </w:rPr>
      </w:pPr>
      <w:r>
        <w:rPr>
          <w:rFonts w:hint="eastAsia" w:ascii="仿宋_GB2312" w:hAnsi="Times New Roman" w:eastAsia="仿宋_GB2312" w:cs="Times New Roman"/>
          <w:b w:val="0"/>
          <w:bCs w:val="0"/>
          <w:sz w:val="32"/>
          <w:szCs w:val="32"/>
          <w:lang w:val="en-US" w:eastAsia="zh-CN"/>
        </w:rPr>
        <w:t>主要包括：（1）习近平总书记关于社会保障工作的重要指示批示精神；（2）党中央、国务院关于社会保障的重大决策部署；（3）税务总局党委推动构建“税费皆重、税费一体、税费协同”工作格局的部署及要求；（4）全国税务系统</w:t>
      </w:r>
      <w:r>
        <w:rPr>
          <w:rFonts w:hint="eastAsia" w:ascii="仿宋_GB2312" w:eastAsia="仿宋_GB2312" w:cs="Times New Roman"/>
          <w:b w:val="0"/>
          <w:bCs w:val="0"/>
          <w:sz w:val="32"/>
          <w:szCs w:val="32"/>
          <w:lang w:val="en-US" w:eastAsia="zh-CN"/>
        </w:rPr>
        <w:t>社会保险费和</w:t>
      </w:r>
      <w:r>
        <w:rPr>
          <w:rFonts w:hint="eastAsia" w:ascii="仿宋_GB2312" w:hAnsi="Times New Roman" w:eastAsia="仿宋_GB2312" w:cs="Times New Roman"/>
          <w:b w:val="0"/>
          <w:bCs w:val="0"/>
          <w:sz w:val="32"/>
          <w:szCs w:val="32"/>
          <w:lang w:val="en-US" w:eastAsia="zh-CN"/>
        </w:rPr>
        <w:t>非税</w:t>
      </w:r>
      <w:r>
        <w:rPr>
          <w:rFonts w:hint="eastAsia" w:ascii="仿宋_GB2312" w:eastAsia="仿宋_GB2312" w:cs="Times New Roman"/>
          <w:b w:val="0"/>
          <w:bCs w:val="0"/>
          <w:sz w:val="32"/>
          <w:szCs w:val="32"/>
          <w:lang w:val="en-US" w:eastAsia="zh-CN"/>
        </w:rPr>
        <w:t>收入</w:t>
      </w:r>
      <w:r>
        <w:rPr>
          <w:rFonts w:hint="eastAsia" w:ascii="仿宋_GB2312" w:hAnsi="Times New Roman" w:eastAsia="仿宋_GB2312" w:cs="Times New Roman"/>
          <w:b w:val="0"/>
          <w:bCs w:val="0"/>
          <w:sz w:val="32"/>
          <w:szCs w:val="32"/>
          <w:lang w:val="en-US" w:eastAsia="zh-CN"/>
        </w:rPr>
        <w:t>工作会议精神；（5）社会保险、非税收入基础理论。</w:t>
      </w:r>
    </w:p>
    <w:p w14:paraId="4328ED6D">
      <w:pPr>
        <w:keepNext w:val="0"/>
        <w:keepLines w:val="0"/>
        <w:pageBreakBefore w:val="0"/>
        <w:widowControl w:val="0"/>
        <w:kinsoku/>
        <w:wordWrap/>
        <w:topLinePunct w:val="0"/>
        <w:bidi w:val="0"/>
        <w:spacing w:afterLines="0" w:line="600" w:lineRule="exact"/>
        <w:ind w:firstLine="640" w:firstLineChars="200"/>
        <w:jc w:val="both"/>
        <w:rPr>
          <w:rFonts w:hint="eastAsia" w:ascii="楷体_GB2312" w:hAnsi="楷体_GB2312" w:eastAsia="楷体_GB2312" w:cs="楷体_GB2312"/>
          <w:color w:val="auto"/>
          <w:kern w:val="0"/>
          <w:sz w:val="32"/>
          <w:szCs w:val="32"/>
          <w:lang w:val="en-US" w:eastAsia="zh-CN"/>
        </w:rPr>
      </w:pPr>
      <w:r>
        <w:rPr>
          <w:rFonts w:hint="eastAsia" w:ascii="楷体_GB2312" w:hAnsi="楷体_GB2312" w:eastAsia="楷体_GB2312" w:cs="楷体_GB2312"/>
          <w:color w:val="auto"/>
          <w:kern w:val="0"/>
          <w:sz w:val="32"/>
          <w:szCs w:val="32"/>
          <w:lang w:val="en-US" w:eastAsia="zh-CN"/>
        </w:rPr>
        <w:t>（二）重要法律法规及政策规定</w:t>
      </w:r>
    </w:p>
    <w:p w14:paraId="41DA4E11">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Times New Roman" w:eastAsia="仿宋_GB2312" w:cs="Times New Roman"/>
          <w:b w:val="0"/>
          <w:bCs w:val="0"/>
          <w:sz w:val="32"/>
          <w:szCs w:val="32"/>
          <w:lang w:val="en-US" w:eastAsia="zh-CN"/>
        </w:rPr>
      </w:pPr>
      <w:r>
        <w:rPr>
          <w:rFonts w:hint="eastAsia" w:ascii="仿宋_GB2312" w:hAnsi="Times New Roman" w:eastAsia="仿宋_GB2312" w:cs="Times New Roman"/>
          <w:b w:val="0"/>
          <w:bCs w:val="0"/>
          <w:sz w:val="32"/>
          <w:szCs w:val="32"/>
          <w:lang w:val="en-US" w:eastAsia="zh-CN"/>
        </w:rPr>
        <w:t>主要包括：（1）中华人民共和国社会保险法、社会保险费征缴暂行条例；（2）基本养老保险、基本医疗保险、工伤保险（职业伤害保障）、失业保险等险种相关法律法规、政策规定；（3）政府非税收入管理办法及税务部门负责征收的非税收入项目相关法律法规、政策规定。</w:t>
      </w:r>
    </w:p>
    <w:p w14:paraId="371954A4">
      <w:pPr>
        <w:keepNext w:val="0"/>
        <w:keepLines w:val="0"/>
        <w:pageBreakBefore w:val="0"/>
        <w:widowControl w:val="0"/>
        <w:kinsoku/>
        <w:wordWrap/>
        <w:topLinePunct w:val="0"/>
        <w:bidi w:val="0"/>
        <w:spacing w:afterLines="0" w:line="600" w:lineRule="exact"/>
        <w:ind w:firstLine="640" w:firstLineChars="200"/>
        <w:jc w:val="both"/>
        <w:rPr>
          <w:rFonts w:hint="eastAsia" w:ascii="楷体_GB2312" w:hAnsi="楷体_GB2312" w:eastAsia="楷体_GB2312" w:cs="楷体_GB2312"/>
          <w:color w:val="auto"/>
          <w:kern w:val="0"/>
          <w:sz w:val="32"/>
          <w:szCs w:val="32"/>
          <w:lang w:val="en-US" w:eastAsia="zh-CN"/>
        </w:rPr>
      </w:pPr>
      <w:r>
        <w:rPr>
          <w:rFonts w:hint="eastAsia" w:ascii="楷体_GB2312" w:hAnsi="楷体_GB2312" w:eastAsia="楷体_GB2312" w:cs="楷体_GB2312"/>
          <w:color w:val="auto"/>
          <w:kern w:val="0"/>
          <w:sz w:val="32"/>
          <w:szCs w:val="32"/>
          <w:lang w:val="en-US" w:eastAsia="zh-CN"/>
        </w:rPr>
        <w:t>（三）征管服务及信息化</w:t>
      </w:r>
    </w:p>
    <w:p w14:paraId="6FF4F808">
      <w:pPr>
        <w:keepNext w:val="0"/>
        <w:keepLines w:val="0"/>
        <w:pageBreakBefore w:val="0"/>
        <w:widowControl w:val="0"/>
        <w:kinsoku/>
        <w:wordWrap/>
        <w:topLinePunct w:val="0"/>
        <w:bidi w:val="0"/>
        <w:spacing w:afterLines="0" w:line="600" w:lineRule="exact"/>
        <w:ind w:firstLine="640" w:firstLineChars="200"/>
        <w:jc w:val="both"/>
        <w:rPr>
          <w:rFonts w:hint="eastAsia"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主要包括：（1）社会保险费、非税收入的征管模式、征管业务、缴费服务、风险管理等；（2）社会保险费、非税收入信息共享、部门协作等工作部署及要求；（3）社会保险基金管理。</w:t>
      </w:r>
    </w:p>
    <w:p w14:paraId="00BAA220">
      <w:pPr>
        <w:keepNext w:val="0"/>
        <w:keepLines w:val="0"/>
        <w:pageBreakBefore w:val="0"/>
        <w:widowControl w:val="0"/>
        <w:kinsoku/>
        <w:wordWrap/>
        <w:topLinePunct w:val="0"/>
        <w:bidi w:val="0"/>
        <w:spacing w:afterLines="0" w:line="600" w:lineRule="exact"/>
        <w:ind w:firstLine="640" w:firstLineChars="200"/>
        <w:jc w:val="both"/>
        <w:rPr>
          <w:rFonts w:hint="eastAsia" w:ascii="楷体_GB2312" w:hAnsi="楷体_GB2312" w:eastAsia="楷体_GB2312" w:cs="楷体_GB2312"/>
          <w:color w:val="auto"/>
          <w:kern w:val="0"/>
          <w:sz w:val="32"/>
          <w:szCs w:val="32"/>
          <w:lang w:val="en-US" w:eastAsia="zh-CN"/>
        </w:rPr>
      </w:pPr>
      <w:r>
        <w:rPr>
          <w:rFonts w:hint="eastAsia" w:ascii="楷体_GB2312" w:hAnsi="楷体_GB2312" w:eastAsia="楷体_GB2312" w:cs="楷体_GB2312"/>
          <w:color w:val="auto"/>
          <w:kern w:val="0"/>
          <w:sz w:val="32"/>
          <w:szCs w:val="32"/>
          <w:lang w:val="en-US" w:eastAsia="zh-CN"/>
        </w:rPr>
        <w:t>（四）统计分析</w:t>
      </w:r>
    </w:p>
    <w:p w14:paraId="25464241">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sz w:val="32"/>
          <w:szCs w:val="32"/>
          <w:lang w:eastAsia="zh-CN"/>
        </w:rPr>
      </w:pPr>
      <w:r>
        <w:rPr>
          <w:rFonts w:hint="eastAsia" w:ascii="仿宋_GB2312" w:eastAsia="仿宋_GB2312"/>
          <w:b w:val="0"/>
          <w:bCs w:val="0"/>
          <w:sz w:val="32"/>
          <w:szCs w:val="32"/>
          <w:lang w:val="en-US" w:eastAsia="zh-CN"/>
        </w:rPr>
        <w:t>主要包括：（1）社会保险费</w:t>
      </w:r>
      <w:r>
        <w:rPr>
          <w:rFonts w:hint="eastAsia" w:ascii="仿宋_GB2312" w:eastAsia="仿宋_GB2312"/>
          <w:sz w:val="32"/>
          <w:szCs w:val="32"/>
        </w:rPr>
        <w:t>统计指标体系</w:t>
      </w:r>
      <w:r>
        <w:rPr>
          <w:rFonts w:hint="eastAsia" w:ascii="仿宋_GB2312" w:eastAsia="仿宋_GB2312"/>
          <w:sz w:val="32"/>
          <w:szCs w:val="32"/>
          <w:lang w:eastAsia="zh-CN"/>
        </w:rPr>
        <w:t>，预算编制，减、免、缓、降统计核算；（</w:t>
      </w:r>
      <w:r>
        <w:rPr>
          <w:rFonts w:hint="eastAsia" w:ascii="仿宋_GB2312" w:eastAsia="仿宋_GB2312"/>
          <w:sz w:val="32"/>
          <w:szCs w:val="32"/>
          <w:lang w:val="en-US" w:eastAsia="zh-CN"/>
        </w:rPr>
        <w:t>2</w:t>
      </w:r>
      <w:r>
        <w:rPr>
          <w:rFonts w:hint="eastAsia" w:ascii="仿宋_GB2312" w:eastAsia="仿宋_GB2312"/>
          <w:sz w:val="32"/>
          <w:szCs w:val="32"/>
          <w:lang w:eastAsia="zh-CN"/>
        </w:rPr>
        <w:t>）</w:t>
      </w:r>
      <w:r>
        <w:rPr>
          <w:rFonts w:hint="eastAsia" w:ascii="仿宋_GB2312" w:eastAsia="仿宋_GB2312"/>
          <w:b w:val="0"/>
          <w:bCs w:val="0"/>
          <w:sz w:val="32"/>
          <w:szCs w:val="32"/>
          <w:lang w:val="en-US" w:eastAsia="zh-CN"/>
        </w:rPr>
        <w:t>社会保险费收入形势分析，征缴情况及费源分析，政策效应分析，风险分析</w:t>
      </w:r>
      <w:r>
        <w:rPr>
          <w:rFonts w:hint="eastAsia" w:ascii="仿宋_GB2312" w:eastAsia="仿宋_GB2312"/>
          <w:sz w:val="32"/>
          <w:szCs w:val="32"/>
          <w:lang w:eastAsia="zh-CN"/>
        </w:rPr>
        <w:t>；（</w:t>
      </w:r>
      <w:r>
        <w:rPr>
          <w:rFonts w:hint="eastAsia" w:ascii="仿宋_GB2312" w:eastAsia="仿宋_GB2312"/>
          <w:sz w:val="32"/>
          <w:szCs w:val="32"/>
          <w:lang w:val="en-US" w:eastAsia="zh-CN"/>
        </w:rPr>
        <w:t>3</w:t>
      </w:r>
      <w:r>
        <w:rPr>
          <w:rFonts w:hint="eastAsia" w:ascii="仿宋_GB2312" w:eastAsia="仿宋_GB2312"/>
          <w:sz w:val="32"/>
          <w:szCs w:val="32"/>
          <w:lang w:eastAsia="zh-CN"/>
        </w:rPr>
        <w:t>）非税收入</w:t>
      </w:r>
      <w:r>
        <w:rPr>
          <w:rFonts w:hint="eastAsia" w:ascii="仿宋_GB2312" w:hAnsi="仿宋_GB2312" w:eastAsia="仿宋_GB2312" w:cs="仿宋_GB2312"/>
          <w:sz w:val="32"/>
          <w:szCs w:val="32"/>
          <w:lang w:eastAsia="zh-CN"/>
        </w:rPr>
        <w:t>政策效应分析、税费联动分析、经济分析等。</w:t>
      </w:r>
    </w:p>
    <w:p w14:paraId="4341B7EF">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三、税源管理方向</w:t>
      </w:r>
    </w:p>
    <w:p w14:paraId="784D63E4">
      <w:pPr>
        <w:keepNext w:val="0"/>
        <w:keepLines w:val="0"/>
        <w:pageBreakBefore w:val="0"/>
        <w:widowControl w:val="0"/>
        <w:kinsoku/>
        <w:wordWrap/>
        <w:topLinePunct w:val="0"/>
        <w:bidi w:val="0"/>
        <w:snapToGrid/>
        <w:spacing w:afterLines="0" w:line="600" w:lineRule="exact"/>
        <w:ind w:firstLine="640" w:firstLineChars="200"/>
        <w:jc w:val="both"/>
        <w:rPr>
          <w:rFonts w:hint="eastAsia" w:ascii="仿宋_GB2312" w:hAnsi="仿宋_GB2312" w:eastAsia="仿宋_GB2312" w:cs="仿宋_GB2312"/>
          <w:color w:val="auto"/>
          <w:sz w:val="32"/>
          <w:szCs w:val="32"/>
          <w:lang w:eastAsia="zh-CN"/>
        </w:rPr>
      </w:pPr>
      <w:r>
        <w:rPr>
          <w:rFonts w:hint="eastAsia" w:ascii="楷体_GB2312" w:hAnsi="楷体_GB2312" w:eastAsia="楷体_GB2312" w:cs="楷体_GB2312"/>
          <w:color w:val="auto"/>
          <w:sz w:val="32"/>
          <w:szCs w:val="32"/>
          <w:lang w:val="en-US" w:eastAsia="zh-CN"/>
        </w:rPr>
        <w:t>（一）专业通识</w:t>
      </w:r>
    </w:p>
    <w:p w14:paraId="57136F97">
      <w:pPr>
        <w:keepNext w:val="0"/>
        <w:keepLines w:val="0"/>
        <w:pageBreakBefore w:val="0"/>
        <w:widowControl w:val="0"/>
        <w:kinsoku/>
        <w:wordWrap/>
        <w:topLinePunct w:val="0"/>
        <w:bidi w:val="0"/>
        <w:snapToGrid/>
        <w:spacing w:line="600" w:lineRule="exact"/>
        <w:ind w:firstLine="640" w:firstLineChars="200"/>
        <w:jc w:val="lef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主要包括：</w:t>
      </w:r>
      <w:r>
        <w:rPr>
          <w:rFonts w:hint="eastAsia" w:ascii="仿宋_GB2312" w:hAnsi="仿宋_GB2312" w:eastAsia="仿宋_GB2312" w:cs="仿宋_GB2312"/>
          <w:color w:val="000000"/>
          <w:sz w:val="32"/>
          <w:szCs w:val="32"/>
        </w:rPr>
        <w:t>（1）党中央、国务院关于税收工作特别是组织收入工作的重要会议精神和重要文件</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auto"/>
          <w:sz w:val="32"/>
          <w:szCs w:val="32"/>
          <w:lang w:eastAsia="zh-CN"/>
        </w:rPr>
        <w:t>以及关于税收治理、建设世界一流企业等重大决策部署；</w:t>
      </w:r>
      <w:r>
        <w:rPr>
          <w:rFonts w:hint="eastAsia" w:ascii="仿宋_GB2312" w:hAnsi="仿宋_GB2312" w:eastAsia="仿宋_GB2312" w:cs="仿宋_GB2312"/>
          <w:color w:val="000000"/>
          <w:sz w:val="32"/>
          <w:szCs w:val="32"/>
        </w:rPr>
        <w:t>（2）</w:t>
      </w:r>
      <w:r>
        <w:rPr>
          <w:rFonts w:hint="eastAsia" w:ascii="仿宋_GB2312" w:hAnsi="仿宋_GB2312" w:eastAsia="仿宋_GB2312" w:cs="仿宋_GB2312"/>
          <w:color w:val="000000"/>
          <w:sz w:val="32"/>
          <w:szCs w:val="32"/>
          <w:lang w:eastAsia="zh-CN"/>
        </w:rPr>
        <w:t>税务</w:t>
      </w:r>
      <w:r>
        <w:rPr>
          <w:rFonts w:hint="eastAsia" w:ascii="仿宋_GB2312" w:hAnsi="仿宋_GB2312" w:eastAsia="仿宋_GB2312" w:cs="仿宋_GB2312"/>
          <w:color w:val="000000"/>
          <w:sz w:val="32"/>
          <w:szCs w:val="32"/>
        </w:rPr>
        <w:t>总局党委关于组织收入</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税源管理</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auto"/>
          <w:sz w:val="32"/>
          <w:szCs w:val="32"/>
          <w:lang w:eastAsia="zh-CN"/>
        </w:rPr>
        <w:t>大企业税收治理工作</w:t>
      </w:r>
      <w:r>
        <w:rPr>
          <w:rFonts w:hint="eastAsia" w:ascii="仿宋_GB2312" w:hAnsi="仿宋_GB2312" w:eastAsia="仿宋_GB2312" w:cs="仿宋_GB2312"/>
          <w:color w:val="000000"/>
          <w:sz w:val="32"/>
          <w:szCs w:val="32"/>
        </w:rPr>
        <w:t>的相关部署</w:t>
      </w:r>
      <w:r>
        <w:rPr>
          <w:rFonts w:hint="eastAsia" w:ascii="仿宋_GB2312" w:hAnsi="仿宋_GB2312" w:eastAsia="仿宋_GB2312" w:cs="仿宋_GB2312"/>
          <w:color w:val="000000"/>
          <w:sz w:val="32"/>
          <w:szCs w:val="32"/>
          <w:lang w:eastAsia="zh-CN"/>
        </w:rPr>
        <w:t>要求</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）大企业税收管理基本理念；（</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eastAsia="zh-CN"/>
        </w:rPr>
        <w:t>）健全大企业税收服务和管理新格局的总体思路、工作原则和重点任务；（</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lang w:eastAsia="zh-CN"/>
        </w:rPr>
        <w:t>）大企业税收治理体制机制和业务体系。</w:t>
      </w:r>
    </w:p>
    <w:p w14:paraId="0D377A4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（二）税源运行监测</w:t>
      </w:r>
    </w:p>
    <w:p w14:paraId="4D93A53B">
      <w:pPr>
        <w:keepNext w:val="0"/>
        <w:keepLines w:val="0"/>
        <w:pageBreakBefore w:val="0"/>
        <w:widowControl w:val="0"/>
        <w:kinsoku/>
        <w:wordWrap/>
        <w:topLinePunct w:val="0"/>
        <w:bidi w:val="0"/>
        <w:snapToGrid/>
        <w:spacing w:line="600" w:lineRule="exact"/>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主要包括：（</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lang w:eastAsia="zh-CN"/>
        </w:rPr>
        <w:t>）国民经济核算体系；（</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lang w:eastAsia="zh-CN"/>
        </w:rPr>
        <w:t>）企业会计核算；（</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lang w:eastAsia="zh-CN"/>
        </w:rPr>
        <w:t>）企业财务管理；（</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lang w:eastAsia="zh-CN"/>
        </w:rPr>
        <w:t>）统计基础知识；（</w:t>
      </w: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lang w:eastAsia="zh-CN"/>
        </w:rPr>
        <w:t>）增值税、消费税、企业所得税等税种政策和征管制度；（</w:t>
      </w:r>
      <w:r>
        <w:rPr>
          <w:rFonts w:hint="eastAsia"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lang w:eastAsia="zh-CN"/>
        </w:rPr>
        <w:t>）税收会计和统计核算；（</w:t>
      </w:r>
      <w:r>
        <w:rPr>
          <w:rFonts w:hint="eastAsia" w:ascii="仿宋_GB2312" w:hAnsi="仿宋_GB2312" w:eastAsia="仿宋_GB2312" w:cs="仿宋_GB2312"/>
          <w:color w:val="000000"/>
          <w:sz w:val="32"/>
          <w:szCs w:val="32"/>
          <w:lang w:val="en-US" w:eastAsia="zh-CN"/>
        </w:rPr>
        <w:t>7</w:t>
      </w:r>
      <w:r>
        <w:rPr>
          <w:rFonts w:hint="eastAsia" w:ascii="仿宋_GB2312" w:hAnsi="仿宋_GB2312" w:eastAsia="仿宋_GB2312" w:cs="仿宋_GB2312"/>
          <w:color w:val="000000"/>
          <w:sz w:val="32"/>
          <w:szCs w:val="32"/>
          <w:lang w:eastAsia="zh-CN"/>
        </w:rPr>
        <w:t>）户源基本情况分析；（</w:t>
      </w:r>
      <w:r>
        <w:rPr>
          <w:rFonts w:hint="eastAsia" w:ascii="仿宋_GB2312" w:hAnsi="仿宋_GB2312" w:eastAsia="仿宋_GB2312" w:cs="仿宋_GB2312"/>
          <w:color w:val="000000"/>
          <w:sz w:val="32"/>
          <w:szCs w:val="32"/>
          <w:lang w:val="en-US" w:eastAsia="zh-CN"/>
        </w:rPr>
        <w:t>7</w:t>
      </w:r>
      <w:r>
        <w:rPr>
          <w:rFonts w:hint="eastAsia" w:ascii="仿宋_GB2312" w:hAnsi="仿宋_GB2312" w:eastAsia="仿宋_GB2312" w:cs="仿宋_GB2312"/>
          <w:color w:val="000000"/>
          <w:sz w:val="32"/>
          <w:szCs w:val="32"/>
          <w:lang w:eastAsia="zh-CN"/>
        </w:rPr>
        <w:t>）企业经营和税源运行分析。</w:t>
      </w:r>
    </w:p>
    <w:p w14:paraId="083C273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lang w:val="en-US" w:eastAsia="zh-CN"/>
        </w:rPr>
      </w:pPr>
      <w:r>
        <w:rPr>
          <w:rFonts w:hint="eastAsia" w:ascii="楷体_GB2312" w:hAnsi="楷体_GB2312" w:eastAsia="楷体_GB2312" w:cs="楷体_GB2312"/>
          <w:sz w:val="32"/>
          <w:szCs w:val="32"/>
          <w:lang w:eastAsia="zh-CN"/>
        </w:rPr>
        <w:t>（三）税源收入管理</w:t>
      </w:r>
    </w:p>
    <w:p w14:paraId="0603AA31">
      <w:pPr>
        <w:keepNext w:val="0"/>
        <w:keepLines w:val="0"/>
        <w:pageBreakBefore w:val="0"/>
        <w:widowControl w:val="0"/>
        <w:kinsoku/>
        <w:wordWrap/>
        <w:topLinePunct w:val="0"/>
        <w:bidi w:val="0"/>
        <w:snapToGrid/>
        <w:spacing w:line="600" w:lineRule="exact"/>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主要包括：（</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lang w:eastAsia="zh-CN"/>
        </w:rPr>
        <w:t>）税收预测方法；（</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lang w:eastAsia="zh-CN"/>
        </w:rPr>
        <w:t>）税收收入目标管理；（</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lang w:eastAsia="zh-CN"/>
        </w:rPr>
        <w:t>）税源收入形势分析；（</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lang w:eastAsia="zh-CN"/>
        </w:rPr>
        <w:t>）税收收入质量管理。</w:t>
      </w:r>
    </w:p>
    <w:p w14:paraId="2067F75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（四）税源风险监控</w:t>
      </w:r>
    </w:p>
    <w:p w14:paraId="3189DA9C">
      <w:pPr>
        <w:keepNext w:val="0"/>
        <w:keepLines w:val="0"/>
        <w:pageBreakBefore w:val="0"/>
        <w:widowControl w:val="0"/>
        <w:kinsoku/>
        <w:wordWrap/>
        <w:topLinePunct w:val="0"/>
        <w:bidi w:val="0"/>
        <w:snapToGrid/>
        <w:spacing w:line="600" w:lineRule="exact"/>
        <w:ind w:firstLine="640" w:firstLineChars="200"/>
        <w:jc w:val="lef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000000"/>
          <w:sz w:val="32"/>
          <w:szCs w:val="32"/>
          <w:lang w:eastAsia="zh-CN"/>
        </w:rPr>
        <w:t>主要包括：（</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lang w:eastAsia="zh-CN"/>
        </w:rPr>
        <w:t>）风险管理理论知识；（</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lang w:eastAsia="zh-CN"/>
        </w:rPr>
        <w:t>）税源风险指标模型建设；（</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lang w:eastAsia="zh-CN"/>
        </w:rPr>
        <w:t>）纳税评估基本方法；（</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lang w:eastAsia="zh-CN"/>
        </w:rPr>
        <w:t>）税源运行与税收收入匹配性分析。</w:t>
      </w:r>
    </w:p>
    <w:p w14:paraId="1DE40625">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（五）千户集团税源监控</w:t>
      </w:r>
    </w:p>
    <w:p w14:paraId="33D36F32">
      <w:pPr>
        <w:keepNext w:val="0"/>
        <w:keepLines w:val="0"/>
        <w:pageBreakBefore w:val="0"/>
        <w:widowControl w:val="0"/>
        <w:kinsoku/>
        <w:wordWrap/>
        <w:topLinePunct w:val="0"/>
        <w:bidi w:val="0"/>
        <w:snapToGrid/>
        <w:spacing w:afterLines="0" w:line="600" w:lineRule="exact"/>
        <w:ind w:firstLine="640" w:firstLineChars="200"/>
        <w:jc w:val="both"/>
        <w:rPr>
          <w:rFonts w:hint="eastAsia"/>
          <w:color w:val="auto"/>
          <w:lang w:eastAsia="zh-CN"/>
        </w:rPr>
      </w:pPr>
      <w:r>
        <w:rPr>
          <w:rFonts w:hint="eastAsia" w:ascii="仿宋_GB2312" w:hAnsi="仿宋_GB2312" w:eastAsia="仿宋_GB2312" w:cs="仿宋_GB2312"/>
          <w:color w:val="auto"/>
          <w:sz w:val="32"/>
          <w:szCs w:val="32"/>
          <w:lang w:eastAsia="zh-CN"/>
        </w:rPr>
        <w:t>主要包括：（1）千户集团税源监控工作内涵；（</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强化千户集团税源监控的重要性；（</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）强化千户集团税源监控的基本思路；（</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千户集团税源监控的定位以及与其他业务的衔接贯通；（5）</w:t>
      </w:r>
      <w:r>
        <w:rPr>
          <w:rFonts w:hint="eastAsia" w:ascii="仿宋_GB2312" w:hAnsi="仿宋_GB2312" w:eastAsia="仿宋_GB2312" w:cs="仿宋_GB2312"/>
          <w:color w:val="auto"/>
          <w:sz w:val="32"/>
          <w:szCs w:val="32"/>
          <w:highlight w:val="none"/>
          <w:lang w:val="en-US" w:eastAsia="zh-CN"/>
        </w:rPr>
        <w:t>大企业涉税信息库（行业、集团）基本内容；（6）税源监控指标模型建设；（7）税源监控事项跟踪处置。</w:t>
      </w:r>
    </w:p>
    <w:p w14:paraId="1AC130D0">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（六）大企业定制性纳税服务</w:t>
      </w:r>
    </w:p>
    <w:p w14:paraId="4E940268">
      <w:pPr>
        <w:keepNext w:val="0"/>
        <w:keepLines w:val="0"/>
        <w:pageBreakBefore w:val="0"/>
        <w:widowControl w:val="0"/>
        <w:kinsoku/>
        <w:wordWrap/>
        <w:overflowPunct w:val="0"/>
        <w:topLinePunct w:val="0"/>
        <w:autoSpaceDE w:val="0"/>
        <w:autoSpaceDN w:val="0"/>
        <w:bidi w:val="0"/>
        <w:adjustRightInd w:val="0"/>
        <w:snapToGrid/>
        <w:spacing w:afterLines="0" w:line="600" w:lineRule="exact"/>
        <w:ind w:firstLine="640" w:firstLineChars="200"/>
        <w:jc w:val="both"/>
        <w:textAlignment w:val="baseline"/>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lang w:eastAsia="zh-CN"/>
        </w:rPr>
        <w:t>主要包括：（1）大企业定制性纳税服务的内涵、目标和工作机制；（2）税费政策确定性和执行一致性服务；（3）集团税收遵从评价；（4）大企业便捷办税</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5</w:t>
      </w:r>
      <w:r>
        <w:rPr>
          <w:rFonts w:hint="eastAsia" w:ascii="仿宋_GB2312" w:hAnsi="仿宋_GB2312" w:eastAsia="仿宋_GB2312" w:cs="仿宋_GB2312"/>
          <w:b w:val="0"/>
          <w:bCs w:val="0"/>
          <w:color w:val="auto"/>
          <w:sz w:val="32"/>
          <w:szCs w:val="32"/>
          <w:lang w:eastAsia="zh-CN"/>
        </w:rPr>
        <w:t>）“便民办税春风行动”服务大企业相关举措。</w:t>
      </w:r>
    </w:p>
    <w:p w14:paraId="168A578A">
      <w:pPr>
        <w:keepNext w:val="0"/>
        <w:keepLines w:val="0"/>
        <w:pageBreakBefore w:val="0"/>
        <w:widowControl w:val="0"/>
        <w:kinsoku/>
        <w:wordWrap/>
        <w:overflowPunct w:val="0"/>
        <w:topLinePunct w:val="0"/>
        <w:autoSpaceDE w:val="0"/>
        <w:autoSpaceDN w:val="0"/>
        <w:bidi w:val="0"/>
        <w:adjustRightInd w:val="0"/>
        <w:snapToGrid/>
        <w:spacing w:afterLines="0" w:line="600" w:lineRule="exact"/>
        <w:ind w:firstLine="640" w:firstLineChars="200"/>
        <w:jc w:val="both"/>
        <w:textAlignment w:val="baseline"/>
        <w:rPr>
          <w:rFonts w:hint="eastAsia"/>
          <w:b w:val="0"/>
          <w:bCs w:val="0"/>
          <w:color w:val="auto"/>
          <w:lang w:eastAsia="zh-CN"/>
        </w:rPr>
      </w:pPr>
      <w:r>
        <w:rPr>
          <w:rFonts w:hint="eastAsia" w:ascii="黑体" w:hAnsi="黑体" w:eastAsia="黑体" w:cs="黑体"/>
          <w:b w:val="0"/>
          <w:bCs w:val="0"/>
          <w:color w:val="auto"/>
          <w:sz w:val="32"/>
          <w:szCs w:val="32"/>
          <w:lang w:eastAsia="zh-CN"/>
        </w:rPr>
        <w:t>（</w:t>
      </w:r>
      <w:r>
        <w:rPr>
          <w:rFonts w:hint="eastAsia" w:ascii="楷体_GB2312" w:hAnsi="楷体_GB2312" w:eastAsia="楷体_GB2312" w:cs="楷体_GB2312"/>
          <w:b w:val="0"/>
          <w:bCs w:val="0"/>
          <w:color w:val="auto"/>
          <w:sz w:val="32"/>
          <w:szCs w:val="32"/>
          <w:lang w:val="en-US" w:eastAsia="zh-CN"/>
        </w:rPr>
        <w:t>七）大企业整体性风险管理</w:t>
      </w:r>
    </w:p>
    <w:p w14:paraId="7B1A839F">
      <w:pPr>
        <w:keepNext w:val="0"/>
        <w:keepLines w:val="0"/>
        <w:pageBreakBefore w:val="0"/>
        <w:widowControl w:val="0"/>
        <w:kinsoku/>
        <w:wordWrap/>
        <w:overflowPunct w:val="0"/>
        <w:topLinePunct w:val="0"/>
        <w:autoSpaceDE w:val="0"/>
        <w:autoSpaceDN w:val="0"/>
        <w:bidi w:val="0"/>
        <w:adjustRightInd w:val="0"/>
        <w:snapToGrid/>
        <w:spacing w:afterLines="0" w:line="600" w:lineRule="exact"/>
        <w:ind w:firstLine="640" w:firstLineChars="200"/>
        <w:jc w:val="both"/>
        <w:textAlignment w:val="baseline"/>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lang w:eastAsia="zh-CN"/>
        </w:rPr>
        <w:t>主要包括：（</w:t>
      </w:r>
      <w:r>
        <w:rPr>
          <w:rFonts w:hint="eastAsia" w:ascii="仿宋_GB2312" w:hAnsi="仿宋_GB2312" w:eastAsia="仿宋_GB2312" w:cs="仿宋_GB2312"/>
          <w:b w:val="0"/>
          <w:bCs w:val="0"/>
          <w:color w:val="auto"/>
          <w:sz w:val="32"/>
          <w:szCs w:val="32"/>
          <w:lang w:val="en-US" w:eastAsia="zh-CN"/>
        </w:rPr>
        <w:t>1</w:t>
      </w:r>
      <w:r>
        <w:rPr>
          <w:rFonts w:hint="eastAsia" w:ascii="仿宋_GB2312" w:hAnsi="仿宋_GB2312" w:eastAsia="仿宋_GB2312" w:cs="仿宋_GB2312"/>
          <w:b w:val="0"/>
          <w:bCs w:val="0"/>
          <w:color w:val="auto"/>
          <w:sz w:val="32"/>
          <w:szCs w:val="32"/>
          <w:lang w:eastAsia="zh-CN"/>
        </w:rPr>
        <w:t>）大企业整体性风险管理的内涵、目标和工作机制；（</w:t>
      </w:r>
      <w:r>
        <w:rPr>
          <w:rFonts w:hint="eastAsia" w:ascii="仿宋_GB2312" w:hAnsi="仿宋_GB2312" w:eastAsia="仿宋_GB2312" w:cs="仿宋_GB2312"/>
          <w:b w:val="0"/>
          <w:bCs w:val="0"/>
          <w:color w:val="auto"/>
          <w:sz w:val="32"/>
          <w:szCs w:val="32"/>
          <w:lang w:val="en-US" w:eastAsia="zh-CN"/>
        </w:rPr>
        <w:t>2</w:t>
      </w:r>
      <w:r>
        <w:rPr>
          <w:rFonts w:hint="eastAsia" w:ascii="仿宋_GB2312" w:hAnsi="仿宋_GB2312" w:eastAsia="仿宋_GB2312" w:cs="仿宋_GB2312"/>
          <w:b w:val="0"/>
          <w:bCs w:val="0"/>
          <w:color w:val="auto"/>
          <w:sz w:val="32"/>
          <w:szCs w:val="32"/>
          <w:lang w:eastAsia="zh-CN"/>
        </w:rPr>
        <w:t>）大企业税收风险管理主要内容和流程；（</w:t>
      </w:r>
      <w:r>
        <w:rPr>
          <w:rFonts w:hint="eastAsia" w:ascii="仿宋_GB2312" w:hAnsi="仿宋_GB2312" w:eastAsia="仿宋_GB2312" w:cs="仿宋_GB2312"/>
          <w:b w:val="0"/>
          <w:bCs w:val="0"/>
          <w:color w:val="auto"/>
          <w:sz w:val="32"/>
          <w:szCs w:val="32"/>
          <w:lang w:val="en-US" w:eastAsia="zh-CN"/>
        </w:rPr>
        <w:t>3</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highlight w:val="none"/>
          <w:lang w:val="en-US" w:eastAsia="zh-CN"/>
        </w:rPr>
        <w:t>重点行业风险分析应对方法；</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4</w:t>
      </w:r>
      <w:r>
        <w:rPr>
          <w:rFonts w:hint="eastAsia" w:ascii="仿宋_GB2312" w:hAnsi="仿宋_GB2312" w:eastAsia="仿宋_GB2312" w:cs="仿宋_GB2312"/>
          <w:b w:val="0"/>
          <w:bCs w:val="0"/>
          <w:color w:val="auto"/>
          <w:sz w:val="32"/>
          <w:szCs w:val="32"/>
          <w:lang w:eastAsia="zh-CN"/>
        </w:rPr>
        <w:t>）大企业国际税收联合管理。</w:t>
      </w:r>
    </w:p>
    <w:p w14:paraId="36227126">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（八）大企业专题性经济分析</w:t>
      </w:r>
    </w:p>
    <w:p w14:paraId="625EBCE9">
      <w:pPr>
        <w:keepNext w:val="0"/>
        <w:keepLines w:val="0"/>
        <w:pageBreakBefore w:val="0"/>
        <w:widowControl w:val="0"/>
        <w:kinsoku/>
        <w:wordWrap/>
        <w:topLinePunct w:val="0"/>
        <w:bidi w:val="0"/>
        <w:snapToGrid/>
        <w:spacing w:afterLines="0" w:line="600" w:lineRule="exact"/>
        <w:ind w:firstLine="640" w:firstLineChars="200"/>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主要包括：（</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）大企业专题性经济分析的内涵、目标和工作机制；（</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）大企业专题性经济分析主要内容；（</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）“税比析”决策服务系统成果转化应用。</w:t>
      </w:r>
    </w:p>
    <w:p w14:paraId="7FC98401">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（九）大企业智慧税务建设</w:t>
      </w:r>
    </w:p>
    <w:p w14:paraId="32F7518E">
      <w:pPr>
        <w:pStyle w:val="2"/>
        <w:spacing w:afterLines="0" w:line="600" w:lineRule="exact"/>
        <w:ind w:firstLine="640" w:firstLineChars="200"/>
        <w:rPr>
          <w:rFonts w:hint="eastAsia"/>
          <w:lang w:eastAsia="zh-CN"/>
        </w:rPr>
      </w:pPr>
      <w:r>
        <w:rPr>
          <w:rFonts w:hint="eastAsia" w:ascii="仿宋_GB2312" w:hAnsi="仿宋_GB2312" w:eastAsia="仿宋_GB2312" w:cs="仿宋_GB2312"/>
          <w:color w:val="auto"/>
          <w:sz w:val="32"/>
          <w:szCs w:val="32"/>
          <w:lang w:eastAsia="zh-CN"/>
        </w:rPr>
        <w:t>主要包括：（</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）“网络对网络”信息化建设思路；（</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）集团“一户式”信息归集、管理与应用；（</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）千户集团名册管理相关规定；（</w:t>
      </w:r>
      <w:r>
        <w:rPr>
          <w:rFonts w:hint="eastAsia" w:ascii="仿宋_GB2312" w:hAnsi="仿宋_GB2312" w:eastAsia="仿宋_GB2312" w:cs="仿宋_GB2312"/>
          <w:color w:val="auto"/>
          <w:sz w:val="32"/>
          <w:szCs w:val="32"/>
          <w:lang w:val="en-US" w:eastAsia="zh-CN"/>
        </w:rPr>
        <w:t>4）集团直报管理相关规定；（5）帐套管理相关规定</w:t>
      </w:r>
      <w:r>
        <w:rPr>
          <w:rFonts w:hint="eastAsia" w:ascii="仿宋_GB2312" w:hAnsi="仿宋_GB2312" w:eastAsia="仿宋_GB2312" w:cs="仿宋_GB2312"/>
          <w:color w:val="auto"/>
          <w:sz w:val="32"/>
          <w:szCs w:val="32"/>
          <w:lang w:eastAsia="zh-CN"/>
        </w:rPr>
        <w:t>。</w:t>
      </w:r>
    </w:p>
    <w:p w14:paraId="058D07AA">
      <w:pPr>
        <w:pStyle w:val="2"/>
        <w:keepNext w:val="0"/>
        <w:keepLines w:val="0"/>
        <w:pageBreakBefore w:val="0"/>
        <w:kinsoku/>
        <w:wordWrap/>
        <w:topLinePunct w:val="0"/>
        <w:bidi w:val="0"/>
        <w:spacing w:afterLines="0" w:line="600" w:lineRule="exact"/>
        <w:ind w:firstLine="640" w:firstLineChars="200"/>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四、税务稽查方向</w:t>
      </w:r>
    </w:p>
    <w:p w14:paraId="515C3822">
      <w:pPr>
        <w:pStyle w:val="2"/>
        <w:keepNext w:val="0"/>
        <w:keepLines w:val="0"/>
        <w:pageBreakBefore w:val="0"/>
        <w:kinsoku/>
        <w:wordWrap/>
        <w:topLinePunct w:val="0"/>
        <w:bidi w:val="0"/>
        <w:adjustRightInd w:val="0"/>
        <w:spacing w:afterLines="0" w:line="600" w:lineRule="exact"/>
        <w:ind w:firstLine="640" w:firstLineChars="200"/>
        <w:rPr>
          <w:rFonts w:hint="eastAsia" w:ascii="楷体_GB2312" w:hAnsi="楷体_GB2312" w:eastAsia="楷体_GB2312" w:cs="楷体_GB2312"/>
          <w:color w:val="auto"/>
          <w:kern w:val="0"/>
          <w:sz w:val="32"/>
          <w:szCs w:val="32"/>
          <w:lang w:eastAsia="zh-CN"/>
        </w:rPr>
      </w:pPr>
      <w:r>
        <w:rPr>
          <w:rFonts w:hint="eastAsia" w:ascii="楷体_GB2312" w:hAnsi="楷体_GB2312" w:eastAsia="楷体_GB2312" w:cs="楷体_GB2312"/>
          <w:color w:val="auto"/>
          <w:kern w:val="0"/>
          <w:sz w:val="32"/>
          <w:szCs w:val="32"/>
          <w:lang w:eastAsia="zh-CN"/>
        </w:rPr>
        <w:t>（一）专业通识</w:t>
      </w:r>
    </w:p>
    <w:p w14:paraId="009A39FA">
      <w:pPr>
        <w:pStyle w:val="2"/>
        <w:keepNext w:val="0"/>
        <w:keepLines w:val="0"/>
        <w:pageBreakBefore w:val="0"/>
        <w:widowControl w:val="0"/>
        <w:kinsoku/>
        <w:wordWrap/>
        <w:overflowPunct/>
        <w:topLinePunct w:val="0"/>
        <w:autoSpaceDE/>
        <w:autoSpaceDN/>
        <w:bidi w:val="0"/>
        <w:adjustRightInd w:val="0"/>
        <w:snapToGrid w:val="0"/>
        <w:spacing w:afterLines="0" w:line="600" w:lineRule="exact"/>
        <w:ind w:firstLine="640" w:firstLineChars="200"/>
        <w:jc w:val="both"/>
        <w:textAlignment w:val="auto"/>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主要包括：（1）习近平总书记关于加强税收监管和税务稽查的重要指示；（2）稽查基本理论；（3）稽查相关法律法规、制度规定；（4）稽查体制机制改革与发展；（5）稽查监督制约；（6）稽查信息化；（7）稽查分析应用等。</w:t>
      </w:r>
    </w:p>
    <w:p w14:paraId="348FEA12">
      <w:pPr>
        <w:keepNext w:val="0"/>
        <w:keepLines w:val="0"/>
        <w:pageBreakBefore w:val="0"/>
        <w:widowControl w:val="0"/>
        <w:numPr>
          <w:ilvl w:val="0"/>
          <w:numId w:val="0"/>
        </w:numPr>
        <w:kinsoku/>
        <w:wordWrap/>
        <w:topLinePunct w:val="0"/>
        <w:bidi w:val="0"/>
        <w:adjustRightInd w:val="0"/>
        <w:snapToGrid w:val="0"/>
        <w:spacing w:afterLines="0" w:line="600" w:lineRule="exact"/>
        <w:ind w:firstLine="640" w:firstLineChars="200"/>
        <w:outlineLvl w:val="1"/>
        <w:rPr>
          <w:rFonts w:hint="eastAsia" w:ascii="楷体_GB2312" w:hAnsi="楷体_GB2312" w:eastAsia="楷体_GB2312" w:cs="楷体_GB2312"/>
          <w:color w:val="auto"/>
          <w:kern w:val="0"/>
          <w:sz w:val="32"/>
          <w:szCs w:val="32"/>
          <w:lang w:eastAsia="zh-CN"/>
        </w:rPr>
      </w:pPr>
      <w:r>
        <w:rPr>
          <w:rFonts w:hint="eastAsia" w:ascii="楷体_GB2312" w:hAnsi="楷体_GB2312" w:eastAsia="楷体_GB2312" w:cs="楷体_GB2312"/>
          <w:color w:val="auto"/>
          <w:kern w:val="0"/>
          <w:sz w:val="32"/>
          <w:szCs w:val="32"/>
          <w:lang w:eastAsia="zh-CN"/>
        </w:rPr>
        <w:t>（二）稽查法律关系</w:t>
      </w:r>
    </w:p>
    <w:p w14:paraId="21378593">
      <w:pPr>
        <w:keepNext w:val="0"/>
        <w:keepLines w:val="0"/>
        <w:pageBreakBefore w:val="0"/>
        <w:widowControl w:val="0"/>
        <w:kinsoku/>
        <w:wordWrap/>
        <w:overflowPunct/>
        <w:topLinePunct w:val="0"/>
        <w:autoSpaceDE/>
        <w:autoSpaceDN/>
        <w:bidi w:val="0"/>
        <w:adjustRightInd w:val="0"/>
        <w:snapToGrid w:val="0"/>
        <w:spacing w:afterLines="0" w:line="600" w:lineRule="exact"/>
        <w:ind w:firstLine="640" w:firstLineChars="200"/>
        <w:jc w:val="both"/>
        <w:textAlignment w:val="auto"/>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主要包括：（1）基本内涵；（2）稽查执法主体的职权与责任；（3）稽查执法相对人的权利与义务；（4）税收违法行为及其法律责任；（5）相关法律在税务稽查中的适用等。</w:t>
      </w:r>
    </w:p>
    <w:p w14:paraId="542C72E1">
      <w:pPr>
        <w:keepNext w:val="0"/>
        <w:keepLines w:val="0"/>
        <w:pageBreakBefore w:val="0"/>
        <w:widowControl w:val="0"/>
        <w:numPr>
          <w:ilvl w:val="0"/>
          <w:numId w:val="0"/>
        </w:numPr>
        <w:kinsoku/>
        <w:wordWrap/>
        <w:topLinePunct w:val="0"/>
        <w:bidi w:val="0"/>
        <w:adjustRightInd w:val="0"/>
        <w:snapToGrid w:val="0"/>
        <w:spacing w:afterLines="0" w:line="600" w:lineRule="exact"/>
        <w:ind w:firstLine="640" w:firstLineChars="200"/>
        <w:outlineLvl w:val="1"/>
        <w:rPr>
          <w:rFonts w:hint="eastAsia" w:ascii="楷体_GB2312" w:hAnsi="楷体_GB2312" w:eastAsia="楷体_GB2312" w:cs="楷体_GB2312"/>
          <w:color w:val="auto"/>
          <w:kern w:val="0"/>
          <w:sz w:val="32"/>
          <w:szCs w:val="32"/>
          <w:lang w:eastAsia="zh-CN"/>
        </w:rPr>
      </w:pPr>
      <w:r>
        <w:rPr>
          <w:rFonts w:hint="eastAsia" w:ascii="楷体_GB2312" w:hAnsi="楷体_GB2312" w:eastAsia="楷体_GB2312" w:cs="楷体_GB2312"/>
          <w:color w:val="auto"/>
          <w:kern w:val="0"/>
          <w:sz w:val="32"/>
          <w:szCs w:val="32"/>
          <w:lang w:eastAsia="zh-CN"/>
        </w:rPr>
        <w:t>（三）稽查办案程序管理</w:t>
      </w:r>
    </w:p>
    <w:p w14:paraId="43081A06">
      <w:pPr>
        <w:keepNext w:val="0"/>
        <w:keepLines w:val="0"/>
        <w:pageBreakBefore w:val="0"/>
        <w:widowControl w:val="0"/>
        <w:kinsoku/>
        <w:wordWrap/>
        <w:overflowPunct/>
        <w:topLinePunct w:val="0"/>
        <w:autoSpaceDE/>
        <w:autoSpaceDN/>
        <w:bidi w:val="0"/>
        <w:adjustRightInd w:val="0"/>
        <w:snapToGrid w:val="0"/>
        <w:spacing w:afterLines="0" w:line="600" w:lineRule="exact"/>
        <w:ind w:firstLine="640" w:firstLineChars="200"/>
        <w:jc w:val="both"/>
        <w:textAlignment w:val="auto"/>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主要包括：（1）案源管理；（2）检查管理；（3）审理管理；（4）执行管理等。</w:t>
      </w:r>
    </w:p>
    <w:p w14:paraId="08844492">
      <w:pPr>
        <w:keepNext w:val="0"/>
        <w:keepLines w:val="0"/>
        <w:pageBreakBefore w:val="0"/>
        <w:widowControl w:val="0"/>
        <w:numPr>
          <w:ilvl w:val="0"/>
          <w:numId w:val="0"/>
        </w:numPr>
        <w:kinsoku/>
        <w:wordWrap/>
        <w:topLinePunct w:val="0"/>
        <w:bidi w:val="0"/>
        <w:adjustRightInd w:val="0"/>
        <w:snapToGrid w:val="0"/>
        <w:spacing w:afterLines="0" w:line="600" w:lineRule="exact"/>
        <w:ind w:firstLine="640" w:firstLineChars="200"/>
        <w:outlineLvl w:val="1"/>
        <w:rPr>
          <w:rFonts w:hint="eastAsia" w:ascii="楷体_GB2312" w:hAnsi="楷体_GB2312" w:eastAsia="楷体_GB2312" w:cs="楷体_GB2312"/>
          <w:color w:val="auto"/>
          <w:kern w:val="0"/>
          <w:sz w:val="32"/>
          <w:szCs w:val="32"/>
          <w:lang w:eastAsia="zh-CN"/>
        </w:rPr>
      </w:pPr>
      <w:r>
        <w:rPr>
          <w:rFonts w:hint="eastAsia" w:ascii="楷体_GB2312" w:hAnsi="楷体_GB2312" w:eastAsia="楷体_GB2312" w:cs="楷体_GB2312"/>
          <w:color w:val="auto"/>
          <w:kern w:val="0"/>
          <w:sz w:val="32"/>
          <w:szCs w:val="32"/>
          <w:lang w:eastAsia="zh-CN"/>
        </w:rPr>
        <w:t>（四）组织检查管理</w:t>
      </w:r>
    </w:p>
    <w:p w14:paraId="17E30509">
      <w:pPr>
        <w:keepNext w:val="0"/>
        <w:keepLines w:val="0"/>
        <w:pageBreakBefore w:val="0"/>
        <w:widowControl w:val="0"/>
        <w:numPr>
          <w:ilvl w:val="0"/>
          <w:numId w:val="0"/>
        </w:numPr>
        <w:kinsoku/>
        <w:wordWrap/>
        <w:topLinePunct w:val="0"/>
        <w:bidi w:val="0"/>
        <w:adjustRightInd w:val="0"/>
        <w:snapToGrid w:val="0"/>
        <w:spacing w:afterLines="0" w:line="600" w:lineRule="exact"/>
        <w:ind w:firstLine="640" w:firstLineChars="200"/>
        <w:outlineLvl w:val="1"/>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主要包括：（1）基本检查方法；（2）虚开发票案件检查；（3）骗取出口退税案件检查；（4）偷逃税案件检查；（5）重要案件检查；（6）部门协作与联合惩戒等。</w:t>
      </w:r>
    </w:p>
    <w:p w14:paraId="36DD86D7">
      <w:pPr>
        <w:keepNext w:val="0"/>
        <w:keepLines w:val="0"/>
        <w:pageBreakBefore w:val="0"/>
        <w:widowControl w:val="0"/>
        <w:kinsoku/>
        <w:wordWrap/>
        <w:overflowPunct/>
        <w:topLinePunct w:val="0"/>
        <w:autoSpaceDE/>
        <w:autoSpaceDN/>
        <w:bidi w:val="0"/>
        <w:spacing w:afterLines="0" w:line="600" w:lineRule="exact"/>
        <w:jc w:val="center"/>
        <w:textAlignment w:val="auto"/>
        <w:rPr>
          <w:rFonts w:hint="eastAsia" w:ascii="方正小标宋简体" w:hAnsi="宋体" w:eastAsia="方正小标宋简体" w:cs="方正小标宋简体"/>
          <w:color w:val="auto"/>
          <w:sz w:val="36"/>
          <w:szCs w:val="36"/>
        </w:rPr>
      </w:pPr>
    </w:p>
    <w:p w14:paraId="09A2F0CF">
      <w:pPr>
        <w:keepNext w:val="0"/>
        <w:keepLines w:val="0"/>
        <w:pageBreakBefore w:val="0"/>
        <w:widowControl w:val="0"/>
        <w:kinsoku/>
        <w:wordWrap/>
        <w:overflowPunct/>
        <w:topLinePunct w:val="0"/>
        <w:autoSpaceDE/>
        <w:autoSpaceDN/>
        <w:bidi w:val="0"/>
        <w:spacing w:afterLines="0" w:line="600" w:lineRule="exact"/>
        <w:jc w:val="center"/>
        <w:textAlignment w:val="auto"/>
        <w:rPr>
          <w:rFonts w:hint="eastAsia" w:ascii="楷体_GB2312" w:hAnsi="宋体" w:eastAsia="方正小标宋简体" w:cs="楷体_GB2312"/>
          <w:color w:val="auto"/>
          <w:sz w:val="28"/>
          <w:szCs w:val="28"/>
          <w:lang w:eastAsia="zh-CN"/>
        </w:rPr>
      </w:pPr>
      <w:r>
        <w:rPr>
          <w:rFonts w:hint="eastAsia" w:ascii="方正小标宋简体" w:hAnsi="宋体" w:eastAsia="方正小标宋简体" w:cs="方正小标宋简体"/>
          <w:color w:val="auto"/>
          <w:sz w:val="36"/>
          <w:szCs w:val="36"/>
        </w:rPr>
        <w:t>第</w:t>
      </w:r>
      <w:r>
        <w:rPr>
          <w:rFonts w:hint="eastAsia" w:ascii="方正小标宋简体" w:hAnsi="宋体" w:eastAsia="方正小标宋简体" w:cs="方正小标宋简体"/>
          <w:color w:val="auto"/>
          <w:sz w:val="36"/>
          <w:szCs w:val="36"/>
          <w:lang w:eastAsia="zh-CN"/>
        </w:rPr>
        <w:t>三</w:t>
      </w:r>
      <w:r>
        <w:rPr>
          <w:rFonts w:hint="eastAsia" w:ascii="方正小标宋简体" w:hAnsi="宋体" w:eastAsia="方正小标宋简体" w:cs="方正小标宋简体"/>
          <w:color w:val="auto"/>
          <w:sz w:val="36"/>
          <w:szCs w:val="36"/>
        </w:rPr>
        <w:t>部分</w:t>
      </w:r>
      <w:r>
        <w:rPr>
          <w:rFonts w:ascii="方正小标宋简体" w:hAnsi="宋体" w:eastAsia="方正小标宋简体" w:cs="方正小标宋简体"/>
          <w:color w:val="auto"/>
          <w:sz w:val="36"/>
          <w:szCs w:val="36"/>
        </w:rPr>
        <w:t xml:space="preserve"> </w:t>
      </w:r>
      <w:r>
        <w:rPr>
          <w:rFonts w:hint="eastAsia" w:ascii="方正小标宋简体" w:hAnsi="宋体" w:eastAsia="方正小标宋简体" w:cs="方正小标宋简体"/>
          <w:color w:val="auto"/>
          <w:sz w:val="36"/>
          <w:szCs w:val="36"/>
        </w:rPr>
        <w:t>税收信息化</w:t>
      </w:r>
      <w:r>
        <w:rPr>
          <w:rFonts w:hint="eastAsia" w:ascii="方正小标宋简体" w:hAnsi="宋体" w:eastAsia="方正小标宋简体" w:cs="方正小标宋简体"/>
          <w:color w:val="auto"/>
          <w:sz w:val="36"/>
          <w:szCs w:val="36"/>
          <w:lang w:eastAsia="zh-CN"/>
        </w:rPr>
        <w:t>管理</w:t>
      </w:r>
      <w:r>
        <w:rPr>
          <w:rFonts w:hint="eastAsia" w:ascii="方正小标宋简体" w:hAnsi="宋体" w:eastAsia="方正小标宋简体" w:cs="方正小标宋简体"/>
          <w:color w:val="auto"/>
          <w:sz w:val="36"/>
          <w:szCs w:val="36"/>
        </w:rPr>
        <w:t>专业</w:t>
      </w:r>
      <w:r>
        <w:rPr>
          <w:rFonts w:hint="eastAsia" w:ascii="方正小标宋简体" w:hAnsi="宋体" w:eastAsia="方正小标宋简体" w:cs="方正小标宋简体"/>
          <w:color w:val="auto"/>
          <w:sz w:val="36"/>
          <w:szCs w:val="36"/>
          <w:lang w:eastAsia="zh-CN"/>
        </w:rPr>
        <w:t>知识</w:t>
      </w:r>
    </w:p>
    <w:p w14:paraId="4D2AB491">
      <w:pPr>
        <w:keepNext w:val="0"/>
        <w:keepLines w:val="0"/>
        <w:pageBreakBefore w:val="0"/>
        <w:widowControl w:val="0"/>
        <w:kinsoku/>
        <w:wordWrap/>
        <w:overflowPunct/>
        <w:topLinePunct w:val="0"/>
        <w:autoSpaceDE/>
        <w:autoSpaceDN/>
        <w:bidi w:val="0"/>
        <w:spacing w:afterLines="0" w:line="600" w:lineRule="exact"/>
        <w:jc w:val="center"/>
        <w:textAlignment w:val="auto"/>
        <w:rPr>
          <w:rFonts w:hint="eastAsia" w:ascii="楷体_GB2312" w:hAnsi="宋体" w:eastAsia="楷体_GB2312" w:cs="楷体_GB2312"/>
          <w:color w:val="auto"/>
          <w:sz w:val="28"/>
          <w:szCs w:val="28"/>
        </w:rPr>
      </w:pPr>
      <w:r>
        <w:rPr>
          <w:rFonts w:hint="eastAsia" w:ascii="楷体_GB2312" w:hAnsi="宋体" w:eastAsia="楷体_GB2312" w:cs="楷体_GB2312"/>
          <w:color w:val="auto"/>
          <w:sz w:val="28"/>
          <w:szCs w:val="28"/>
          <w:lang w:eastAsia="zh-CN"/>
        </w:rPr>
        <w:t>（</w:t>
      </w:r>
      <w:r>
        <w:rPr>
          <w:rFonts w:hint="eastAsia" w:ascii="楷体_GB2312" w:hAnsi="宋体" w:eastAsia="楷体_GB2312" w:cs="楷体_GB2312"/>
          <w:color w:val="auto"/>
          <w:sz w:val="28"/>
          <w:szCs w:val="28"/>
        </w:rPr>
        <w:t>适用于</w:t>
      </w:r>
      <w:r>
        <w:rPr>
          <w:rFonts w:hint="eastAsia" w:ascii="楷体_GB2312" w:hAnsi="宋体" w:eastAsia="楷体_GB2312" w:cs="楷体_GB2312"/>
          <w:color w:val="auto"/>
          <w:sz w:val="28"/>
          <w:szCs w:val="28"/>
          <w:lang w:eastAsia="zh-CN"/>
        </w:rPr>
        <w:t>税收征管数字化</w:t>
      </w:r>
      <w:r>
        <w:rPr>
          <w:rFonts w:hint="eastAsia" w:ascii="楷体_GB2312" w:hAnsi="宋体" w:eastAsia="楷体_GB2312" w:cs="楷体_GB2312"/>
          <w:color w:val="auto"/>
          <w:sz w:val="28"/>
          <w:szCs w:val="28"/>
        </w:rPr>
        <w:t>方向</w:t>
      </w:r>
      <w:r>
        <w:rPr>
          <w:rFonts w:hint="eastAsia" w:ascii="楷体_GB2312" w:hAnsi="宋体" w:eastAsia="楷体_GB2312" w:cs="楷体_GB2312"/>
          <w:color w:val="auto"/>
          <w:sz w:val="28"/>
          <w:szCs w:val="28"/>
          <w:lang w:eastAsia="zh-CN"/>
        </w:rPr>
        <w:t>）</w:t>
      </w:r>
    </w:p>
    <w:p w14:paraId="6EB91630">
      <w:pPr>
        <w:keepNext w:val="0"/>
        <w:keepLines w:val="0"/>
        <w:pageBreakBefore w:val="0"/>
        <w:widowControl w:val="0"/>
        <w:numPr>
          <w:ilvl w:val="0"/>
          <w:numId w:val="0"/>
        </w:numPr>
        <w:kinsoku/>
        <w:wordWrap/>
        <w:topLinePunct w:val="0"/>
        <w:bidi w:val="0"/>
        <w:spacing w:afterLines="0" w:line="600" w:lineRule="exact"/>
        <w:ind w:firstLine="640" w:firstLineChars="200"/>
        <w:jc w:val="both"/>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一、税收征管数字化方向</w:t>
      </w:r>
    </w:p>
    <w:p w14:paraId="04ED5CC0">
      <w:pPr>
        <w:keepNext w:val="0"/>
        <w:keepLines w:val="0"/>
        <w:pageBreakBefore w:val="0"/>
        <w:widowControl w:val="0"/>
        <w:numPr>
          <w:ilvl w:val="0"/>
          <w:numId w:val="0"/>
        </w:numPr>
        <w:kinsoku/>
        <w:wordWrap/>
        <w:topLinePunct w:val="0"/>
        <w:bidi w:val="0"/>
        <w:spacing w:afterLines="0" w:line="600" w:lineRule="exact"/>
        <w:ind w:firstLine="640" w:firstLineChars="200"/>
        <w:jc w:val="both"/>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（一）专业通识</w:t>
      </w:r>
    </w:p>
    <w:p w14:paraId="102F4725">
      <w:pPr>
        <w:keepNext w:val="0"/>
        <w:keepLines w:val="0"/>
        <w:pageBreakBefore w:val="0"/>
        <w:widowControl w:val="0"/>
        <w:numPr>
          <w:ilvl w:val="0"/>
          <w:numId w:val="0"/>
        </w:numPr>
        <w:kinsoku/>
        <w:wordWrap/>
        <w:topLinePunct w:val="0"/>
        <w:bidi w:val="0"/>
        <w:spacing w:afterLines="0" w:line="600" w:lineRule="exact"/>
        <w:ind w:firstLine="640" w:firstLineChars="200"/>
        <w:jc w:val="both"/>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sz w:val="32"/>
          <w:szCs w:val="32"/>
        </w:rPr>
        <w:t>主要包括：（1）习近平总书记关于数字中国建设和数字经济发展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color w:val="auto"/>
          <w:sz w:val="32"/>
          <w:szCs w:val="32"/>
          <w:u w:val="none"/>
          <w:lang w:val="en-US" w:eastAsia="zh-CN"/>
        </w:rPr>
        <w:t>网络强国、</w:t>
      </w:r>
      <w:r>
        <w:rPr>
          <w:rFonts w:hint="eastAsia" w:ascii="仿宋_GB2312" w:hAnsi="仿宋_GB2312" w:eastAsia="仿宋_GB2312" w:cs="仿宋_GB2312"/>
          <w:color w:val="auto"/>
          <w:spacing w:val="0"/>
          <w:sz w:val="32"/>
          <w:szCs w:val="32"/>
          <w:u w:val="none"/>
          <w:lang w:val="en-US" w:eastAsia="zh-CN"/>
        </w:rPr>
        <w:t>网络安全和信息化工作</w:t>
      </w:r>
      <w:r>
        <w:rPr>
          <w:rFonts w:hint="eastAsia" w:ascii="仿宋_GB2312" w:hAnsi="仿宋_GB2312" w:eastAsia="仿宋_GB2312" w:cs="仿宋_GB2312"/>
          <w:sz w:val="32"/>
          <w:szCs w:val="32"/>
        </w:rPr>
        <w:t>的重要思想</w:t>
      </w:r>
      <w:r>
        <w:rPr>
          <w:rFonts w:hint="eastAsia" w:ascii="仿宋_GB2312" w:hAnsi="仿宋_GB2312" w:eastAsia="仿宋_GB2312" w:cs="仿宋_GB2312"/>
          <w:color w:val="auto"/>
          <w:sz w:val="32"/>
          <w:szCs w:val="32"/>
          <w:u w:val="none"/>
          <w:lang w:val="en-US" w:eastAsia="zh-CN"/>
        </w:rPr>
        <w:t>概论</w:t>
      </w:r>
      <w:r>
        <w:rPr>
          <w:rFonts w:hint="eastAsia" w:ascii="仿宋_GB2312" w:hAnsi="仿宋_GB2312" w:eastAsia="仿宋_GB2312" w:cs="仿宋_GB2312"/>
          <w:sz w:val="32"/>
          <w:szCs w:val="32"/>
        </w:rPr>
        <w:t>；（2）税收征管数字化转型基本理论；（3）云计算、大数据、人工智能、新基建、互联网+技术</w:t>
      </w:r>
      <w:r>
        <w:rPr>
          <w:rFonts w:hint="eastAsia" w:ascii="仿宋_GB2312" w:hAnsi="仿宋_GB2312" w:eastAsia="仿宋_GB2312" w:cs="仿宋_GB2312"/>
          <w:sz w:val="32"/>
          <w:szCs w:val="32"/>
          <w:lang w:eastAsia="zh-CN"/>
        </w:rPr>
        <w:t>，及可控计算、零信任等</w:t>
      </w:r>
      <w:r>
        <w:rPr>
          <w:rFonts w:hint="eastAsia" w:ascii="仿宋_GB2312" w:hAnsi="仿宋_GB2312" w:eastAsia="仿宋_GB2312" w:cs="仿宋_GB2312"/>
          <w:sz w:val="32"/>
          <w:szCs w:val="32"/>
        </w:rPr>
        <w:t>税务领域应用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color w:val="auto"/>
          <w:sz w:val="32"/>
          <w:szCs w:val="32"/>
          <w:lang w:val="en" w:eastAsia="zh-CN"/>
        </w:rPr>
        <w:t>（</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val="en" w:eastAsia="zh-CN"/>
        </w:rPr>
        <w:t>）应用软件全生命周期管理、运营一体化理论；（</w:t>
      </w:r>
      <w:r>
        <w:rPr>
          <w:rFonts w:hint="eastAsia" w:ascii="仿宋_GB2312" w:hAnsi="仿宋_GB2312" w:eastAsia="仿宋_GB2312" w:cs="仿宋_GB2312"/>
          <w:color w:val="auto"/>
          <w:sz w:val="32"/>
          <w:szCs w:val="32"/>
          <w:lang w:val="en-US" w:eastAsia="zh-CN"/>
        </w:rPr>
        <w:t>5）网络安全概念及基本技能；（6）国家网络安全要求；（7）税务网络安全要求；</w:t>
      </w:r>
      <w:r>
        <w:rPr>
          <w:rFonts w:hint="eastAsia" w:ascii="仿宋_GB2312" w:hAnsi="仿宋_GB2312" w:eastAsia="仿宋_GB2312" w:cs="仿宋_GB2312"/>
          <w:color w:val="auto"/>
          <w:sz w:val="32"/>
          <w:szCs w:val="32"/>
          <w:lang w:val="en" w:eastAsia="zh-CN"/>
        </w:rPr>
        <w:t>（</w:t>
      </w:r>
      <w:r>
        <w:rPr>
          <w:rFonts w:hint="eastAsia" w:ascii="仿宋_GB2312" w:hAnsi="仿宋_GB2312" w:eastAsia="仿宋_GB2312" w:cs="仿宋_GB2312"/>
          <w:color w:val="auto"/>
          <w:sz w:val="32"/>
          <w:szCs w:val="32"/>
          <w:lang w:val="en-US" w:eastAsia="zh-CN"/>
        </w:rPr>
        <w:t>8）网络安全意识。</w:t>
      </w:r>
    </w:p>
    <w:p w14:paraId="6BE35A82">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（二）税收征管数字化转型</w:t>
      </w:r>
    </w:p>
    <w:p w14:paraId="5C8FF00F">
      <w:pPr>
        <w:keepNext w:val="0"/>
        <w:keepLines w:val="0"/>
        <w:pageBreakBefore w:val="0"/>
        <w:widowControl w:val="0"/>
        <w:numPr>
          <w:ilvl w:val="0"/>
          <w:numId w:val="0"/>
        </w:numPr>
        <w:kinsoku/>
        <w:wordWrap/>
        <w:topLinePunct w:val="0"/>
        <w:bidi w:val="0"/>
        <w:adjustRightInd w:val="0"/>
        <w:snapToGrid w:val="0"/>
        <w:spacing w:afterLines="0" w:line="600" w:lineRule="exact"/>
        <w:ind w:firstLine="640" w:firstLineChars="200"/>
        <w:outlineLvl w:val="1"/>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主要包括：</w:t>
      </w:r>
      <w:r>
        <w:rPr>
          <w:rFonts w:hint="eastAsia" w:ascii="仿宋_GB2312" w:hAnsi="仿宋_GB2312" w:eastAsia="仿宋_GB2312" w:cs="仿宋_GB2312"/>
          <w:color w:val="auto"/>
          <w:sz w:val="32"/>
          <w:szCs w:val="32"/>
          <w:lang w:val="en-US" w:eastAsia="zh-CN"/>
        </w:rPr>
        <w:t>（1）数字中国建设整体布局规划；（2）数字政府建设战略布局；</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）税收征管数字化转型实践路径和关键技术；（</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）智慧税务目标任务、理念与规划；（</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“数据</w:t>
      </w:r>
      <w:r>
        <w:rPr>
          <w:rFonts w:hint="eastAsia" w:ascii="仿宋_GB2312" w:hAnsi="仿宋_GB2312" w:eastAsia="仿宋_GB2312" w:cs="仿宋_GB2312"/>
          <w:color w:val="auto"/>
          <w:sz w:val="32"/>
          <w:szCs w:val="32"/>
          <w:lang w:val="en-US" w:eastAsia="zh-CN"/>
        </w:rPr>
        <w:t>+规则”驱动下的业务改革创新设计</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lang w:eastAsia="zh-CN"/>
        </w:rPr>
        <w:t>）税收信息化管理制度和流程（含规划、立项、需求、开发应用、地方特色软件管理）；</w:t>
      </w:r>
      <w:r>
        <w:rPr>
          <w:rFonts w:hint="eastAsia" w:ascii="仿宋_GB2312" w:hAnsi="仿宋_GB2312" w:eastAsia="仿宋_GB2312" w:cs="仿宋_GB2312"/>
          <w:color w:val="auto"/>
          <w:sz w:val="32"/>
          <w:szCs w:val="32"/>
          <w:lang w:val="en-US" w:eastAsia="zh-CN"/>
        </w:rPr>
        <w:t>（7）大数据发展战略；（8）税务算法研发与管理；（9）数据架构设计与维护等。</w:t>
      </w:r>
    </w:p>
    <w:p w14:paraId="415B1996">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（三）税费业务创新</w:t>
      </w:r>
    </w:p>
    <w:p w14:paraId="5838D3F8">
      <w:pPr>
        <w:keepNext w:val="0"/>
        <w:keepLines w:val="0"/>
        <w:pageBreakBefore w:val="0"/>
        <w:widowControl w:val="0"/>
        <w:numPr>
          <w:ilvl w:val="0"/>
          <w:numId w:val="0"/>
        </w:numPr>
        <w:kinsoku/>
        <w:wordWrap/>
        <w:topLinePunct w:val="0"/>
        <w:bidi w:val="0"/>
        <w:adjustRightInd w:val="0"/>
        <w:snapToGrid w:val="0"/>
        <w:spacing w:afterLines="0" w:line="600" w:lineRule="exact"/>
        <w:ind w:firstLine="640" w:firstLineChars="200"/>
        <w:outlineLvl w:val="1"/>
        <w:rPr>
          <w:rFonts w:hint="eastAsia" w:ascii="仿宋_GB2312" w:hAnsi="仿宋_GB2312" w:eastAsia="仿宋_GB2312" w:cs="仿宋_GB2312"/>
          <w:color w:val="auto"/>
          <w:sz w:val="32"/>
          <w:szCs w:val="32"/>
          <w:lang w:val="en" w:eastAsia="zh-CN"/>
        </w:rPr>
      </w:pPr>
      <w:r>
        <w:rPr>
          <w:rFonts w:hint="eastAsia" w:ascii="仿宋_GB2312" w:hAnsi="仿宋_GB2312" w:eastAsia="仿宋_GB2312" w:cs="仿宋_GB2312"/>
          <w:color w:val="auto"/>
          <w:sz w:val="32"/>
          <w:szCs w:val="32"/>
        </w:rPr>
        <w:t>主要包括：（1）“高效办成一件事”渠道建设及重点事项清单；（2）《税收征管操作规范（2023年版）》相关内容</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（3）以数字化转型理念指导业务重构与创新的实践能力等。</w:t>
      </w:r>
    </w:p>
    <w:p w14:paraId="79268842">
      <w:pPr>
        <w:keepNext w:val="0"/>
        <w:keepLines w:val="0"/>
        <w:pageBreakBefore w:val="0"/>
        <w:widowControl w:val="0"/>
        <w:numPr>
          <w:ilvl w:val="0"/>
          <w:numId w:val="0"/>
        </w:numPr>
        <w:kinsoku/>
        <w:wordWrap/>
        <w:topLinePunct w:val="0"/>
        <w:bidi w:val="0"/>
        <w:adjustRightInd w:val="0"/>
        <w:snapToGrid w:val="0"/>
        <w:spacing w:afterLines="0" w:line="600" w:lineRule="exact"/>
        <w:ind w:firstLine="640" w:firstLineChars="200"/>
        <w:outlineLvl w:val="1"/>
        <w:rPr>
          <w:rFonts w:hint="eastAsia" w:ascii="楷体_GB2312" w:hAnsi="楷体_GB2312" w:eastAsia="楷体_GB2312" w:cs="楷体_GB2312"/>
          <w:color w:val="auto"/>
          <w:kern w:val="0"/>
          <w:sz w:val="32"/>
          <w:szCs w:val="32"/>
          <w:lang w:val="en-US" w:eastAsia="zh-CN"/>
        </w:rPr>
      </w:pPr>
      <w:r>
        <w:rPr>
          <w:rFonts w:hint="eastAsia" w:ascii="楷体_GB2312" w:hAnsi="楷体_GB2312" w:eastAsia="楷体_GB2312" w:cs="楷体_GB2312"/>
          <w:color w:val="auto"/>
          <w:kern w:val="0"/>
          <w:sz w:val="32"/>
          <w:szCs w:val="32"/>
          <w:lang w:val="en-US" w:eastAsia="zh-CN"/>
        </w:rPr>
        <w:t>（四）税收风险管理</w:t>
      </w:r>
    </w:p>
    <w:p w14:paraId="3E01268A">
      <w:pPr>
        <w:keepNext w:val="0"/>
        <w:keepLines w:val="0"/>
        <w:pageBreakBefore w:val="0"/>
        <w:widowControl w:val="0"/>
        <w:numPr>
          <w:ilvl w:val="0"/>
          <w:numId w:val="0"/>
        </w:numPr>
        <w:kinsoku/>
        <w:wordWrap/>
        <w:topLinePunct w:val="0"/>
        <w:bidi w:val="0"/>
        <w:adjustRightInd w:val="0"/>
        <w:snapToGrid w:val="0"/>
        <w:spacing w:afterLines="0" w:line="600" w:lineRule="exact"/>
        <w:ind w:firstLine="640" w:firstLineChars="200"/>
        <w:outlineLvl w:val="1"/>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主要包括：（1）风险管理理论知识；（2）风险管理制度机制建设；（3）风险分析及风险应对基础知识；（4）风险指标模型体系建设；（5）风险管理信息化建设；（6）风险管理智能化应用等。</w:t>
      </w:r>
    </w:p>
    <w:p w14:paraId="16850547">
      <w:pPr>
        <w:keepNext w:val="0"/>
        <w:keepLines w:val="0"/>
        <w:pageBreakBefore w:val="0"/>
        <w:widowControl w:val="0"/>
        <w:numPr>
          <w:ilvl w:val="0"/>
          <w:numId w:val="0"/>
        </w:numPr>
        <w:kinsoku/>
        <w:wordWrap/>
        <w:topLinePunct w:val="0"/>
        <w:bidi w:val="0"/>
        <w:adjustRightInd w:val="0"/>
        <w:snapToGrid w:val="0"/>
        <w:spacing w:afterLines="0" w:line="600" w:lineRule="exact"/>
        <w:ind w:firstLine="640" w:firstLineChars="200"/>
        <w:outlineLvl w:val="1"/>
        <w:rPr>
          <w:rFonts w:hint="eastAsia" w:ascii="楷体_GB2312" w:hAnsi="楷体_GB2312" w:eastAsia="楷体_GB2312" w:cs="楷体_GB2312"/>
          <w:color w:val="auto"/>
          <w:kern w:val="0"/>
          <w:sz w:val="32"/>
          <w:szCs w:val="32"/>
          <w:lang w:val="en-US" w:eastAsia="zh-CN"/>
        </w:rPr>
      </w:pPr>
      <w:r>
        <w:rPr>
          <w:rFonts w:hint="eastAsia" w:ascii="楷体_GB2312" w:hAnsi="楷体_GB2312" w:eastAsia="楷体_GB2312" w:cs="楷体_GB2312"/>
          <w:color w:val="auto"/>
          <w:kern w:val="0"/>
          <w:sz w:val="32"/>
          <w:szCs w:val="32"/>
          <w:lang w:val="en-US" w:eastAsia="zh-CN"/>
        </w:rPr>
        <w:t>（五）税收大数据治理</w:t>
      </w:r>
    </w:p>
    <w:p w14:paraId="6DACF711">
      <w:pPr>
        <w:keepNext w:val="0"/>
        <w:keepLines w:val="0"/>
        <w:pageBreakBefore w:val="0"/>
        <w:widowControl w:val="0"/>
        <w:numPr>
          <w:ilvl w:val="0"/>
          <w:numId w:val="0"/>
        </w:numPr>
        <w:kinsoku/>
        <w:wordWrap/>
        <w:topLinePunct w:val="0"/>
        <w:bidi w:val="0"/>
        <w:adjustRightInd w:val="0"/>
        <w:snapToGrid w:val="0"/>
        <w:spacing w:afterLines="0" w:line="600" w:lineRule="exact"/>
        <w:ind w:firstLine="640" w:firstLineChars="200"/>
        <w:outlineLvl w:val="1"/>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lang w:val="en-US" w:eastAsia="zh-CN"/>
        </w:rPr>
        <w:t>主要包括：</w:t>
      </w:r>
      <w:r>
        <w:rPr>
          <w:rFonts w:hint="eastAsia" w:ascii="仿宋_GB2312" w:hAnsi="仿宋_GB2312" w:eastAsia="仿宋_GB2312" w:cs="仿宋_GB2312"/>
          <w:color w:val="auto"/>
          <w:sz w:val="32"/>
          <w:szCs w:val="32"/>
          <w:highlight w:val="none"/>
          <w:lang w:val="en-US" w:eastAsia="zh-CN"/>
        </w:rPr>
        <w:t>（1）数据要素化采集；（2）数据质量管理；（3）数据加工处理；（4）数据聚合整备；（5）数据交换共享；（6）数据安全管理；（7）数据分析应用；（8）数据智能化驱动等。</w:t>
      </w:r>
    </w:p>
    <w:p w14:paraId="7302E060">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 w:eastAsia="zh-CN"/>
        </w:rPr>
      </w:pPr>
      <w:r>
        <w:rPr>
          <w:rFonts w:hint="eastAsia" w:ascii="楷体_GB2312" w:hAnsi="楷体_GB2312" w:eastAsia="楷体_GB2312" w:cs="楷体_GB2312"/>
          <w:color w:val="auto"/>
          <w:sz w:val="32"/>
          <w:szCs w:val="32"/>
          <w:lang w:val="en" w:eastAsia="zh-CN"/>
        </w:rPr>
        <w:t>（六）税务网络安全规划与管理</w:t>
      </w:r>
    </w:p>
    <w:p w14:paraId="4ECC9E48">
      <w:pPr>
        <w:keepNext w:val="0"/>
        <w:keepLines w:val="0"/>
        <w:pageBreakBefore w:val="0"/>
        <w:widowControl w:val="0"/>
        <w:kinsoku/>
        <w:wordWrap/>
        <w:overflowPunct/>
        <w:topLinePunct w:val="0"/>
        <w:autoSpaceDE/>
        <w:autoSpaceDN/>
        <w:bidi w:val="0"/>
        <w:adjustRightInd w:val="0"/>
        <w:snapToGrid/>
        <w:spacing w:afterLines="0" w:line="600" w:lineRule="exact"/>
        <w:ind w:firstLine="640" w:firstLineChars="200"/>
        <w:jc w:val="both"/>
        <w:textAlignment w:val="auto"/>
        <w:rPr>
          <w:rFonts w:hint="eastAsia" w:ascii="仿宋_GB2312" w:hAnsi="宋体" w:eastAsia="仿宋_GB2312"/>
          <w:color w:val="auto"/>
          <w:sz w:val="32"/>
          <w:szCs w:val="32"/>
        </w:rPr>
      </w:pPr>
      <w:r>
        <w:rPr>
          <w:rFonts w:hint="eastAsia" w:ascii="仿宋_GB2312" w:hAnsi="宋体" w:eastAsia="仿宋_GB2312"/>
          <w:color w:val="auto"/>
          <w:sz w:val="32"/>
          <w:szCs w:val="32"/>
        </w:rPr>
        <w:t>主要包括：（1）</w:t>
      </w:r>
      <w:r>
        <w:rPr>
          <w:rFonts w:hint="eastAsia" w:ascii="仿宋_GB2312" w:hAnsi="宋体" w:eastAsia="仿宋_GB2312"/>
          <w:color w:val="auto"/>
          <w:sz w:val="32"/>
          <w:szCs w:val="32"/>
          <w:lang w:eastAsia="zh-CN"/>
        </w:rPr>
        <w:t>税务网络安全需求分析</w:t>
      </w:r>
      <w:r>
        <w:rPr>
          <w:rFonts w:hint="eastAsia" w:ascii="仿宋_GB2312" w:hAnsi="宋体" w:eastAsia="仿宋_GB2312"/>
          <w:color w:val="auto"/>
          <w:sz w:val="32"/>
          <w:szCs w:val="32"/>
        </w:rPr>
        <w:t>；（2）</w:t>
      </w:r>
      <w:r>
        <w:rPr>
          <w:rFonts w:hint="eastAsia" w:ascii="仿宋_GB2312" w:hAnsi="宋体" w:eastAsia="仿宋_GB2312"/>
          <w:color w:val="auto"/>
          <w:sz w:val="32"/>
          <w:szCs w:val="32"/>
          <w:lang w:eastAsia="zh-CN"/>
        </w:rPr>
        <w:t>税务网络安全战略规划</w:t>
      </w:r>
      <w:r>
        <w:rPr>
          <w:rFonts w:hint="eastAsia" w:ascii="仿宋_GB2312" w:hAnsi="宋体" w:eastAsia="仿宋_GB2312"/>
          <w:color w:val="auto"/>
          <w:sz w:val="32"/>
          <w:szCs w:val="32"/>
        </w:rPr>
        <w:t>；（3）</w:t>
      </w:r>
      <w:r>
        <w:rPr>
          <w:rFonts w:hint="eastAsia" w:ascii="仿宋_GB2312" w:hAnsi="宋体" w:eastAsia="仿宋_GB2312"/>
          <w:color w:val="auto"/>
          <w:sz w:val="32"/>
          <w:szCs w:val="32"/>
          <w:lang w:eastAsia="zh-CN"/>
        </w:rPr>
        <w:t>税务网络安全架构设计；</w:t>
      </w:r>
      <w:r>
        <w:rPr>
          <w:rFonts w:hint="eastAsia" w:ascii="仿宋_GB2312" w:hAnsi="宋体" w:eastAsia="仿宋_GB2312"/>
          <w:color w:val="auto"/>
          <w:sz w:val="32"/>
          <w:szCs w:val="32"/>
        </w:rPr>
        <w:t>（</w:t>
      </w:r>
      <w:r>
        <w:rPr>
          <w:rFonts w:hint="eastAsia" w:ascii="仿宋_GB2312" w:hAnsi="宋体" w:eastAsia="仿宋_GB2312"/>
          <w:color w:val="auto"/>
          <w:sz w:val="32"/>
          <w:szCs w:val="32"/>
          <w:lang w:val="en-US" w:eastAsia="zh-CN"/>
        </w:rPr>
        <w:t>4</w:t>
      </w:r>
      <w:r>
        <w:rPr>
          <w:rFonts w:hint="eastAsia" w:ascii="仿宋_GB2312" w:hAnsi="宋体" w:eastAsia="仿宋_GB2312"/>
          <w:color w:val="auto"/>
          <w:sz w:val="32"/>
          <w:szCs w:val="32"/>
        </w:rPr>
        <w:t>）</w:t>
      </w:r>
      <w:r>
        <w:rPr>
          <w:rFonts w:hint="eastAsia" w:ascii="仿宋_GB2312" w:hAnsi="宋体" w:eastAsia="仿宋_GB2312"/>
          <w:color w:val="auto"/>
          <w:sz w:val="32"/>
          <w:szCs w:val="32"/>
          <w:lang w:eastAsia="zh-CN"/>
        </w:rPr>
        <w:t>税务网络安全合规性管理</w:t>
      </w:r>
      <w:r>
        <w:rPr>
          <w:rFonts w:hint="eastAsia" w:ascii="仿宋_GB2312" w:hAnsi="宋体" w:eastAsia="仿宋_GB2312"/>
          <w:color w:val="auto"/>
          <w:sz w:val="32"/>
          <w:szCs w:val="32"/>
        </w:rPr>
        <w:t>；（</w:t>
      </w:r>
      <w:r>
        <w:rPr>
          <w:rFonts w:hint="eastAsia" w:ascii="仿宋_GB2312" w:hAnsi="宋体" w:eastAsia="仿宋_GB2312"/>
          <w:color w:val="auto"/>
          <w:sz w:val="32"/>
          <w:szCs w:val="32"/>
          <w:lang w:val="en-US" w:eastAsia="zh-CN"/>
        </w:rPr>
        <w:t>5</w:t>
      </w:r>
      <w:r>
        <w:rPr>
          <w:rFonts w:hint="eastAsia" w:ascii="仿宋_GB2312" w:hAnsi="宋体" w:eastAsia="仿宋_GB2312"/>
          <w:color w:val="auto"/>
          <w:sz w:val="32"/>
          <w:szCs w:val="32"/>
        </w:rPr>
        <w:t>）</w:t>
      </w:r>
      <w:r>
        <w:rPr>
          <w:rFonts w:hint="eastAsia" w:ascii="仿宋_GB2312" w:hAnsi="宋体" w:eastAsia="仿宋_GB2312"/>
          <w:color w:val="auto"/>
          <w:sz w:val="32"/>
          <w:szCs w:val="32"/>
          <w:lang w:eastAsia="zh-CN"/>
        </w:rPr>
        <w:t>税务网络安全风险评估与管控；（</w:t>
      </w:r>
      <w:r>
        <w:rPr>
          <w:rFonts w:hint="eastAsia" w:ascii="仿宋_GB2312" w:hAnsi="宋体" w:eastAsia="仿宋_GB2312"/>
          <w:color w:val="auto"/>
          <w:sz w:val="32"/>
          <w:szCs w:val="32"/>
          <w:lang w:val="en-US" w:eastAsia="zh-CN"/>
        </w:rPr>
        <w:t>6）</w:t>
      </w:r>
      <w:r>
        <w:rPr>
          <w:rFonts w:hint="eastAsia" w:ascii="仿宋_GB2312" w:hAnsi="宋体" w:eastAsia="仿宋_GB2312"/>
          <w:color w:val="auto"/>
          <w:sz w:val="32"/>
          <w:szCs w:val="32"/>
          <w:lang w:eastAsia="zh-CN"/>
        </w:rPr>
        <w:t>网络安全等级保护；（</w:t>
      </w:r>
      <w:r>
        <w:rPr>
          <w:rFonts w:hint="eastAsia" w:ascii="仿宋_GB2312" w:hAnsi="宋体" w:eastAsia="仿宋_GB2312"/>
          <w:color w:val="auto"/>
          <w:sz w:val="32"/>
          <w:szCs w:val="32"/>
          <w:lang w:val="en-US" w:eastAsia="zh-CN"/>
        </w:rPr>
        <w:t>7）密码的应用和安全性评估</w:t>
      </w:r>
      <w:r>
        <w:rPr>
          <w:rFonts w:hint="eastAsia" w:ascii="仿宋_GB2312" w:hAnsi="宋体" w:eastAsia="仿宋_GB2312"/>
          <w:color w:val="auto"/>
          <w:sz w:val="32"/>
          <w:szCs w:val="32"/>
        </w:rPr>
        <w:t>。</w:t>
      </w:r>
    </w:p>
    <w:p w14:paraId="023AF52B">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 w:eastAsia="zh-CN"/>
        </w:rPr>
      </w:pPr>
      <w:r>
        <w:rPr>
          <w:rFonts w:hint="eastAsia" w:ascii="楷体_GB2312" w:hAnsi="楷体_GB2312" w:eastAsia="楷体_GB2312" w:cs="楷体_GB2312"/>
          <w:color w:val="auto"/>
          <w:sz w:val="32"/>
          <w:szCs w:val="32"/>
          <w:lang w:val="en" w:eastAsia="zh-CN"/>
        </w:rPr>
        <w:t>（七）税务网络安全建设与运营</w:t>
      </w:r>
    </w:p>
    <w:p w14:paraId="19991204">
      <w:pPr>
        <w:keepNext w:val="0"/>
        <w:keepLines w:val="0"/>
        <w:pageBreakBefore w:val="0"/>
        <w:widowControl w:val="0"/>
        <w:kinsoku/>
        <w:wordWrap/>
        <w:overflowPunct/>
        <w:topLinePunct w:val="0"/>
        <w:autoSpaceDE/>
        <w:autoSpaceDN/>
        <w:bidi w:val="0"/>
        <w:adjustRightInd w:val="0"/>
        <w:snapToGrid/>
        <w:spacing w:afterLines="0" w:line="600" w:lineRule="exact"/>
        <w:ind w:firstLine="640" w:firstLineChars="200"/>
        <w:jc w:val="both"/>
        <w:textAlignment w:val="auto"/>
        <w:rPr>
          <w:rFonts w:hint="eastAsia" w:ascii="仿宋_GB2312" w:hAnsi="宋体" w:eastAsia="仿宋_GB2312"/>
          <w:color w:val="auto"/>
          <w:sz w:val="32"/>
          <w:szCs w:val="32"/>
          <w:lang w:eastAsia="zh-CN"/>
        </w:rPr>
      </w:pPr>
      <w:r>
        <w:rPr>
          <w:rFonts w:hint="eastAsia" w:ascii="仿宋_GB2312" w:hAnsi="宋体" w:eastAsia="仿宋_GB2312"/>
          <w:color w:val="auto"/>
          <w:sz w:val="32"/>
          <w:szCs w:val="32"/>
        </w:rPr>
        <w:t>主要包括：（1）</w:t>
      </w:r>
      <w:r>
        <w:rPr>
          <w:rFonts w:hint="eastAsia" w:ascii="仿宋_GB2312" w:hAnsi="宋体" w:eastAsia="仿宋_GB2312"/>
          <w:color w:val="auto"/>
          <w:sz w:val="32"/>
          <w:szCs w:val="32"/>
          <w:lang w:eastAsia="zh-CN"/>
        </w:rPr>
        <w:t>网络安全产品测试</w:t>
      </w:r>
      <w:r>
        <w:rPr>
          <w:rFonts w:hint="eastAsia" w:ascii="仿宋_GB2312" w:hAnsi="宋体" w:eastAsia="仿宋_GB2312"/>
          <w:color w:val="auto"/>
          <w:sz w:val="32"/>
          <w:szCs w:val="32"/>
        </w:rPr>
        <w:t>；（</w:t>
      </w:r>
      <w:r>
        <w:rPr>
          <w:rFonts w:hint="eastAsia" w:ascii="仿宋_GB2312" w:hAnsi="宋体" w:eastAsia="仿宋_GB2312"/>
          <w:color w:val="auto"/>
          <w:sz w:val="32"/>
          <w:szCs w:val="32"/>
          <w:lang w:val="en-US" w:eastAsia="zh-CN"/>
        </w:rPr>
        <w:t>2</w:t>
      </w:r>
      <w:r>
        <w:rPr>
          <w:rFonts w:hint="eastAsia" w:ascii="仿宋_GB2312" w:hAnsi="宋体" w:eastAsia="仿宋_GB2312"/>
          <w:color w:val="auto"/>
          <w:sz w:val="32"/>
          <w:szCs w:val="32"/>
        </w:rPr>
        <w:t>）</w:t>
      </w:r>
      <w:r>
        <w:rPr>
          <w:rFonts w:hint="eastAsia" w:ascii="仿宋_GB2312" w:hAnsi="宋体" w:eastAsia="仿宋_GB2312"/>
          <w:color w:val="auto"/>
          <w:sz w:val="32"/>
          <w:szCs w:val="32"/>
          <w:lang w:eastAsia="zh-CN"/>
        </w:rPr>
        <w:t>网络安全项目实施；</w:t>
      </w:r>
      <w:r>
        <w:rPr>
          <w:rFonts w:hint="eastAsia" w:ascii="仿宋_GB2312" w:hAnsi="宋体" w:eastAsia="仿宋_GB2312"/>
          <w:color w:val="auto"/>
          <w:sz w:val="32"/>
          <w:szCs w:val="32"/>
        </w:rPr>
        <w:t>（</w:t>
      </w:r>
      <w:r>
        <w:rPr>
          <w:rFonts w:hint="eastAsia" w:ascii="仿宋_GB2312" w:hAnsi="宋体" w:eastAsia="仿宋_GB2312"/>
          <w:color w:val="auto"/>
          <w:sz w:val="32"/>
          <w:szCs w:val="32"/>
          <w:lang w:val="en-US" w:eastAsia="zh-CN"/>
        </w:rPr>
        <w:t>3</w:t>
      </w:r>
      <w:r>
        <w:rPr>
          <w:rFonts w:hint="eastAsia" w:ascii="仿宋_GB2312" w:hAnsi="宋体" w:eastAsia="仿宋_GB2312"/>
          <w:color w:val="auto"/>
          <w:sz w:val="32"/>
          <w:szCs w:val="32"/>
        </w:rPr>
        <w:t>）</w:t>
      </w:r>
      <w:r>
        <w:rPr>
          <w:rFonts w:hint="eastAsia" w:ascii="仿宋_GB2312" w:hAnsi="宋体" w:eastAsia="仿宋_GB2312"/>
          <w:color w:val="auto"/>
          <w:sz w:val="32"/>
          <w:szCs w:val="32"/>
          <w:lang w:eastAsia="zh-CN"/>
        </w:rPr>
        <w:t>税务网络安全运营；</w:t>
      </w:r>
      <w:r>
        <w:rPr>
          <w:rFonts w:hint="eastAsia" w:ascii="仿宋_GB2312" w:hAnsi="宋体" w:eastAsia="仿宋_GB2312"/>
          <w:color w:val="auto"/>
          <w:sz w:val="32"/>
          <w:szCs w:val="32"/>
        </w:rPr>
        <w:t>（</w:t>
      </w:r>
      <w:r>
        <w:rPr>
          <w:rFonts w:hint="eastAsia" w:ascii="仿宋_GB2312" w:hAnsi="宋体" w:eastAsia="仿宋_GB2312"/>
          <w:color w:val="auto"/>
          <w:sz w:val="32"/>
          <w:szCs w:val="32"/>
          <w:lang w:val="en-US" w:eastAsia="zh-CN"/>
        </w:rPr>
        <w:t>4</w:t>
      </w:r>
      <w:r>
        <w:rPr>
          <w:rFonts w:hint="eastAsia" w:ascii="仿宋_GB2312" w:hAnsi="宋体" w:eastAsia="仿宋_GB2312"/>
          <w:color w:val="auto"/>
          <w:sz w:val="32"/>
          <w:szCs w:val="32"/>
        </w:rPr>
        <w:t>）</w:t>
      </w:r>
      <w:r>
        <w:rPr>
          <w:rFonts w:hint="eastAsia" w:ascii="仿宋_GB2312" w:hAnsi="宋体" w:eastAsia="仿宋_GB2312"/>
          <w:color w:val="auto"/>
          <w:sz w:val="32"/>
          <w:szCs w:val="32"/>
          <w:lang w:eastAsia="zh-CN"/>
        </w:rPr>
        <w:t>平台安全管理。</w:t>
      </w:r>
    </w:p>
    <w:p w14:paraId="44E8EAB8">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 w:eastAsia="zh-CN"/>
        </w:rPr>
      </w:pPr>
      <w:r>
        <w:rPr>
          <w:rFonts w:hint="eastAsia" w:ascii="楷体_GB2312" w:hAnsi="楷体_GB2312" w:eastAsia="楷体_GB2312" w:cs="楷体_GB2312"/>
          <w:color w:val="auto"/>
          <w:sz w:val="32"/>
          <w:szCs w:val="32"/>
          <w:lang w:val="en" w:eastAsia="zh-CN"/>
        </w:rPr>
        <w:t>（八）税务网络安全攻防对抗</w:t>
      </w:r>
    </w:p>
    <w:p w14:paraId="5D1514E6">
      <w:pPr>
        <w:keepNext w:val="0"/>
        <w:keepLines w:val="0"/>
        <w:pageBreakBefore w:val="0"/>
        <w:widowControl w:val="0"/>
        <w:kinsoku/>
        <w:wordWrap/>
        <w:overflowPunct/>
        <w:topLinePunct w:val="0"/>
        <w:autoSpaceDE/>
        <w:autoSpaceDN/>
        <w:bidi w:val="0"/>
        <w:adjustRightInd w:val="0"/>
        <w:snapToGrid/>
        <w:spacing w:afterLines="0" w:line="600" w:lineRule="exact"/>
        <w:ind w:firstLine="640" w:firstLineChars="200"/>
        <w:jc w:val="both"/>
        <w:textAlignment w:val="auto"/>
        <w:rPr>
          <w:rFonts w:hint="eastAsia" w:ascii="仿宋_GB2312" w:hAnsi="宋体" w:eastAsia="仿宋_GB2312"/>
          <w:color w:val="auto"/>
          <w:sz w:val="32"/>
          <w:szCs w:val="32"/>
        </w:rPr>
      </w:pPr>
      <w:r>
        <w:rPr>
          <w:rFonts w:hint="eastAsia" w:ascii="仿宋_GB2312" w:hAnsi="宋体" w:eastAsia="仿宋_GB2312"/>
          <w:color w:val="auto"/>
          <w:sz w:val="32"/>
          <w:szCs w:val="32"/>
        </w:rPr>
        <w:t>主要包括：（1）</w:t>
      </w:r>
      <w:r>
        <w:rPr>
          <w:rFonts w:hint="eastAsia" w:ascii="仿宋_GB2312" w:hAnsi="宋体" w:eastAsia="仿宋_GB2312"/>
          <w:color w:val="auto"/>
          <w:sz w:val="32"/>
          <w:szCs w:val="32"/>
          <w:lang w:eastAsia="zh-CN"/>
        </w:rPr>
        <w:t>网络安全监测与分析</w:t>
      </w:r>
      <w:r>
        <w:rPr>
          <w:rFonts w:hint="eastAsia" w:ascii="仿宋_GB2312" w:hAnsi="宋体" w:eastAsia="仿宋_GB2312"/>
          <w:color w:val="auto"/>
          <w:sz w:val="32"/>
          <w:szCs w:val="32"/>
        </w:rPr>
        <w:t>；（2）</w:t>
      </w:r>
      <w:r>
        <w:rPr>
          <w:rFonts w:hint="eastAsia" w:ascii="仿宋_GB2312" w:hAnsi="宋体" w:eastAsia="仿宋_GB2312"/>
          <w:color w:val="auto"/>
          <w:sz w:val="32"/>
          <w:szCs w:val="32"/>
          <w:lang w:eastAsia="zh-CN"/>
        </w:rPr>
        <w:t>漏洞发现与分析</w:t>
      </w:r>
      <w:r>
        <w:rPr>
          <w:rFonts w:hint="eastAsia" w:ascii="仿宋_GB2312" w:hAnsi="宋体" w:eastAsia="仿宋_GB2312"/>
          <w:color w:val="auto"/>
          <w:sz w:val="32"/>
          <w:szCs w:val="32"/>
        </w:rPr>
        <w:t>；（3）</w:t>
      </w:r>
      <w:r>
        <w:rPr>
          <w:rFonts w:hint="eastAsia" w:ascii="仿宋_GB2312" w:hAnsi="宋体" w:eastAsia="仿宋_GB2312"/>
          <w:color w:val="auto"/>
          <w:sz w:val="32"/>
          <w:szCs w:val="32"/>
          <w:lang w:eastAsia="zh-CN"/>
        </w:rPr>
        <w:t>网络安全防御</w:t>
      </w:r>
      <w:r>
        <w:rPr>
          <w:rFonts w:hint="eastAsia" w:ascii="仿宋_GB2312" w:hAnsi="宋体" w:eastAsia="仿宋_GB2312"/>
          <w:color w:val="auto"/>
          <w:sz w:val="32"/>
          <w:szCs w:val="32"/>
        </w:rPr>
        <w:t>；（4）</w:t>
      </w:r>
      <w:r>
        <w:rPr>
          <w:rFonts w:hint="eastAsia" w:ascii="仿宋_GB2312" w:hAnsi="宋体" w:eastAsia="仿宋_GB2312"/>
          <w:color w:val="auto"/>
          <w:sz w:val="32"/>
          <w:szCs w:val="32"/>
          <w:lang w:eastAsia="zh-CN"/>
        </w:rPr>
        <w:t>网络安全应急响应；（</w:t>
      </w:r>
      <w:r>
        <w:rPr>
          <w:rFonts w:hint="eastAsia" w:ascii="仿宋_GB2312" w:hAnsi="宋体" w:eastAsia="仿宋_GB2312"/>
          <w:color w:val="auto"/>
          <w:sz w:val="32"/>
          <w:szCs w:val="32"/>
          <w:lang w:val="en-US" w:eastAsia="zh-CN"/>
        </w:rPr>
        <w:t>5</w:t>
      </w:r>
      <w:r>
        <w:rPr>
          <w:rFonts w:hint="eastAsia" w:ascii="仿宋_GB2312" w:hAnsi="宋体" w:eastAsia="仿宋_GB2312"/>
          <w:color w:val="auto"/>
          <w:sz w:val="32"/>
          <w:szCs w:val="32"/>
          <w:lang w:eastAsia="zh-CN"/>
        </w:rPr>
        <w:t>）攻防演练</w:t>
      </w:r>
      <w:r>
        <w:rPr>
          <w:rFonts w:hint="eastAsia" w:ascii="仿宋_GB2312" w:hAnsi="宋体" w:eastAsia="仿宋_GB2312"/>
          <w:color w:val="auto"/>
          <w:sz w:val="32"/>
          <w:szCs w:val="32"/>
        </w:rPr>
        <w:t>。</w:t>
      </w:r>
    </w:p>
    <w:p w14:paraId="5CFBFEE3">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 w:eastAsia="zh-CN"/>
        </w:rPr>
      </w:pPr>
      <w:r>
        <w:rPr>
          <w:rFonts w:hint="eastAsia" w:ascii="楷体_GB2312" w:hAnsi="楷体_GB2312" w:eastAsia="楷体_GB2312" w:cs="楷体_GB2312"/>
          <w:color w:val="auto"/>
          <w:sz w:val="32"/>
          <w:szCs w:val="32"/>
          <w:lang w:val="en" w:eastAsia="zh-CN"/>
        </w:rPr>
        <w:t>（九）税务数据安全管理</w:t>
      </w:r>
    </w:p>
    <w:p w14:paraId="1A5E1CE4">
      <w:pPr>
        <w:keepNext w:val="0"/>
        <w:keepLines w:val="0"/>
        <w:pageBreakBefore w:val="0"/>
        <w:widowControl w:val="0"/>
        <w:kinsoku/>
        <w:wordWrap/>
        <w:overflowPunct/>
        <w:topLinePunct w:val="0"/>
        <w:autoSpaceDE/>
        <w:autoSpaceDN/>
        <w:bidi w:val="0"/>
        <w:adjustRightInd w:val="0"/>
        <w:snapToGrid/>
        <w:spacing w:afterLines="0" w:line="600" w:lineRule="exact"/>
        <w:ind w:firstLine="640" w:firstLineChars="200"/>
        <w:jc w:val="both"/>
        <w:textAlignment w:val="auto"/>
        <w:rPr>
          <w:rFonts w:hint="default" w:ascii="仿宋_GB2312" w:hAnsi="宋体" w:eastAsia="仿宋_GB2312"/>
          <w:color w:val="auto"/>
          <w:sz w:val="32"/>
          <w:szCs w:val="32"/>
          <w:lang w:val="en-US"/>
        </w:rPr>
      </w:pPr>
      <w:r>
        <w:rPr>
          <w:rFonts w:hint="eastAsia" w:ascii="仿宋_GB2312" w:hAnsi="宋体" w:eastAsia="仿宋_GB2312"/>
          <w:color w:val="auto"/>
          <w:sz w:val="32"/>
          <w:szCs w:val="32"/>
        </w:rPr>
        <w:t>主要包括：（1）</w:t>
      </w:r>
      <w:r>
        <w:rPr>
          <w:rFonts w:hint="eastAsia" w:ascii="仿宋_GB2312" w:hAnsi="宋体" w:eastAsia="仿宋_GB2312"/>
          <w:color w:val="auto"/>
          <w:sz w:val="32"/>
          <w:szCs w:val="32"/>
          <w:lang w:eastAsia="zh-CN"/>
        </w:rPr>
        <w:t>数据安全基础</w:t>
      </w:r>
      <w:r>
        <w:rPr>
          <w:rFonts w:hint="eastAsia" w:ascii="仿宋_GB2312" w:hAnsi="宋体" w:eastAsia="仿宋_GB2312"/>
          <w:color w:val="auto"/>
          <w:sz w:val="32"/>
          <w:szCs w:val="32"/>
        </w:rPr>
        <w:t>；（2）</w:t>
      </w:r>
      <w:r>
        <w:rPr>
          <w:rFonts w:hint="eastAsia" w:ascii="仿宋_GB2312" w:hAnsi="宋体" w:eastAsia="仿宋_GB2312"/>
          <w:color w:val="auto"/>
          <w:sz w:val="32"/>
          <w:szCs w:val="32"/>
          <w:lang w:eastAsia="zh-CN"/>
        </w:rPr>
        <w:t>税务数据分级分类</w:t>
      </w:r>
      <w:r>
        <w:rPr>
          <w:rFonts w:hint="eastAsia" w:ascii="仿宋_GB2312" w:hAnsi="宋体" w:eastAsia="仿宋_GB2312"/>
          <w:color w:val="auto"/>
          <w:sz w:val="32"/>
          <w:szCs w:val="32"/>
        </w:rPr>
        <w:t>；（3）</w:t>
      </w:r>
      <w:r>
        <w:rPr>
          <w:rFonts w:hint="eastAsia" w:ascii="仿宋_GB2312" w:hAnsi="宋体" w:eastAsia="仿宋_GB2312"/>
          <w:color w:val="auto"/>
          <w:sz w:val="32"/>
          <w:szCs w:val="32"/>
          <w:lang w:eastAsia="zh-CN"/>
        </w:rPr>
        <w:t>税费数据安全全生命周期管控；（</w:t>
      </w:r>
      <w:r>
        <w:rPr>
          <w:rFonts w:hint="eastAsia" w:ascii="仿宋_GB2312" w:hAnsi="宋体" w:eastAsia="仿宋_GB2312"/>
          <w:color w:val="auto"/>
          <w:sz w:val="32"/>
          <w:szCs w:val="32"/>
          <w:lang w:val="en-US" w:eastAsia="zh-CN"/>
        </w:rPr>
        <w:t>4）重要和核心数据安全管理；（5）数据安全监测与评估；（6）个人信息保护。</w:t>
      </w:r>
    </w:p>
    <w:p w14:paraId="46A5471F">
      <w:pPr>
        <w:keepNext w:val="0"/>
        <w:keepLines w:val="0"/>
        <w:pageBreakBefore w:val="0"/>
        <w:widowControl w:val="0"/>
        <w:kinsoku/>
        <w:wordWrap/>
        <w:overflowPunct/>
        <w:topLinePunct w:val="0"/>
        <w:autoSpaceDE/>
        <w:autoSpaceDN/>
        <w:bidi w:val="0"/>
        <w:spacing w:afterLines="0" w:line="600" w:lineRule="exact"/>
        <w:jc w:val="center"/>
        <w:textAlignment w:val="auto"/>
        <w:rPr>
          <w:rFonts w:hint="eastAsia" w:ascii="方正小标宋简体" w:hAnsi="宋体" w:eastAsia="方正小标宋简体" w:cs="方正小标宋简体"/>
          <w:color w:val="auto"/>
          <w:sz w:val="36"/>
          <w:szCs w:val="36"/>
        </w:rPr>
      </w:pPr>
    </w:p>
    <w:p w14:paraId="6612CF48">
      <w:pPr>
        <w:keepNext w:val="0"/>
        <w:keepLines w:val="0"/>
        <w:pageBreakBefore w:val="0"/>
        <w:widowControl w:val="0"/>
        <w:kinsoku/>
        <w:wordWrap/>
        <w:overflowPunct/>
        <w:topLinePunct w:val="0"/>
        <w:autoSpaceDE/>
        <w:autoSpaceDN/>
        <w:bidi w:val="0"/>
        <w:spacing w:afterLines="0" w:line="600" w:lineRule="exact"/>
        <w:jc w:val="center"/>
        <w:textAlignment w:val="auto"/>
        <w:rPr>
          <w:rFonts w:hint="eastAsia" w:ascii="方正小标宋简体" w:hAnsi="宋体" w:eastAsia="方正小标宋简体"/>
          <w:color w:val="auto"/>
          <w:sz w:val="36"/>
          <w:szCs w:val="36"/>
          <w:lang w:eastAsia="zh-CN"/>
        </w:rPr>
      </w:pPr>
      <w:r>
        <w:rPr>
          <w:rFonts w:hint="eastAsia" w:ascii="方正小标宋简体" w:hAnsi="宋体" w:eastAsia="方正小标宋简体" w:cs="方正小标宋简体"/>
          <w:color w:val="auto"/>
          <w:sz w:val="36"/>
          <w:szCs w:val="36"/>
        </w:rPr>
        <w:t>第</w:t>
      </w:r>
      <w:r>
        <w:rPr>
          <w:rFonts w:hint="eastAsia" w:ascii="方正小标宋简体" w:hAnsi="宋体" w:eastAsia="方正小标宋简体" w:cs="方正小标宋简体"/>
          <w:color w:val="auto"/>
          <w:sz w:val="36"/>
          <w:szCs w:val="36"/>
          <w:lang w:eastAsia="zh-CN"/>
        </w:rPr>
        <w:t>四</w:t>
      </w:r>
      <w:r>
        <w:rPr>
          <w:rFonts w:hint="eastAsia" w:ascii="方正小标宋简体" w:hAnsi="宋体" w:eastAsia="方正小标宋简体" w:cs="方正小标宋简体"/>
          <w:color w:val="auto"/>
          <w:sz w:val="36"/>
          <w:szCs w:val="36"/>
        </w:rPr>
        <w:t>部分</w:t>
      </w:r>
      <w:r>
        <w:rPr>
          <w:rFonts w:ascii="方正小标宋简体" w:hAnsi="宋体" w:eastAsia="方正小标宋简体" w:cs="方正小标宋简体"/>
          <w:color w:val="auto"/>
          <w:sz w:val="36"/>
          <w:szCs w:val="36"/>
        </w:rPr>
        <w:t xml:space="preserve">  </w:t>
      </w:r>
      <w:r>
        <w:rPr>
          <w:rFonts w:hint="eastAsia" w:ascii="方正小标宋简体" w:hAnsi="宋体" w:eastAsia="方正小标宋简体" w:cs="方正小标宋简体"/>
          <w:color w:val="auto"/>
          <w:sz w:val="36"/>
          <w:szCs w:val="36"/>
          <w:lang w:eastAsia="zh-CN"/>
        </w:rPr>
        <w:t>综合管理</w:t>
      </w:r>
      <w:r>
        <w:rPr>
          <w:rFonts w:hint="eastAsia" w:ascii="方正小标宋简体" w:hAnsi="宋体" w:eastAsia="方正小标宋简体" w:cs="方正小标宋简体"/>
          <w:color w:val="auto"/>
          <w:sz w:val="36"/>
          <w:szCs w:val="36"/>
        </w:rPr>
        <w:t>专业</w:t>
      </w:r>
      <w:r>
        <w:rPr>
          <w:rFonts w:hint="eastAsia" w:ascii="方正小标宋简体" w:hAnsi="宋体" w:eastAsia="方正小标宋简体" w:cs="方正小标宋简体"/>
          <w:color w:val="auto"/>
          <w:sz w:val="36"/>
          <w:szCs w:val="36"/>
          <w:lang w:eastAsia="zh-CN"/>
        </w:rPr>
        <w:t>知识</w:t>
      </w:r>
    </w:p>
    <w:p w14:paraId="4EC0BC75">
      <w:pPr>
        <w:keepNext w:val="0"/>
        <w:keepLines w:val="0"/>
        <w:pageBreakBefore w:val="0"/>
        <w:widowControl w:val="0"/>
        <w:kinsoku/>
        <w:wordWrap/>
        <w:overflowPunct/>
        <w:topLinePunct w:val="0"/>
        <w:autoSpaceDE/>
        <w:autoSpaceDN/>
        <w:bidi w:val="0"/>
        <w:spacing w:after="0" w:afterLines="0" w:line="600" w:lineRule="exact"/>
        <w:jc w:val="center"/>
        <w:textAlignment w:val="auto"/>
        <w:rPr>
          <w:rFonts w:hint="eastAsia" w:ascii="楷体_GB2312" w:hAnsi="黑体" w:eastAsia="楷体_GB2312" w:cs="楷体_GB2312"/>
          <w:color w:val="auto"/>
          <w:sz w:val="28"/>
          <w:szCs w:val="28"/>
        </w:rPr>
      </w:pPr>
      <w:r>
        <w:rPr>
          <w:rFonts w:hint="eastAsia" w:ascii="楷体_GB2312" w:hAnsi="黑体" w:eastAsia="楷体_GB2312" w:cs="楷体_GB2312"/>
          <w:color w:val="auto"/>
          <w:sz w:val="28"/>
          <w:szCs w:val="28"/>
          <w:lang w:eastAsia="zh-CN"/>
        </w:rPr>
        <w:t>（</w:t>
      </w:r>
      <w:r>
        <w:rPr>
          <w:rFonts w:hint="eastAsia" w:ascii="楷体_GB2312" w:hAnsi="黑体" w:eastAsia="楷体_GB2312" w:cs="楷体_GB2312"/>
          <w:color w:val="auto"/>
          <w:sz w:val="28"/>
          <w:szCs w:val="28"/>
        </w:rPr>
        <w:t>适用于</w:t>
      </w:r>
      <w:r>
        <w:rPr>
          <w:rFonts w:hint="eastAsia" w:ascii="楷体_GB2312" w:hAnsi="黑体" w:eastAsia="楷体_GB2312" w:cs="楷体_GB2312"/>
          <w:color w:val="auto"/>
          <w:sz w:val="28"/>
          <w:szCs w:val="28"/>
          <w:lang w:eastAsia="zh-CN"/>
        </w:rPr>
        <w:t>巡视督审、税收传播</w:t>
      </w:r>
      <w:r>
        <w:rPr>
          <w:rFonts w:hint="eastAsia" w:ascii="楷体_GB2312" w:hAnsi="黑体" w:eastAsia="楷体_GB2312" w:cs="楷体_GB2312"/>
          <w:color w:val="auto"/>
          <w:sz w:val="28"/>
          <w:szCs w:val="28"/>
        </w:rPr>
        <w:t>方向</w:t>
      </w:r>
      <w:r>
        <w:rPr>
          <w:rFonts w:hint="eastAsia" w:ascii="楷体_GB2312" w:hAnsi="黑体" w:eastAsia="楷体_GB2312" w:cs="楷体_GB2312"/>
          <w:color w:val="auto"/>
          <w:sz w:val="28"/>
          <w:szCs w:val="28"/>
          <w:lang w:eastAsia="zh-CN"/>
        </w:rPr>
        <w:t>）</w:t>
      </w:r>
    </w:p>
    <w:p w14:paraId="094F05FA">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一、巡视督审方向</w:t>
      </w:r>
    </w:p>
    <w:p w14:paraId="0FBD00D5">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（一）专业通识</w:t>
      </w:r>
    </w:p>
    <w:p w14:paraId="2D34DC3F">
      <w:pPr>
        <w:numPr>
          <w:ilvl w:val="0"/>
          <w:numId w:val="0"/>
        </w:numPr>
        <w:spacing w:afterLines="0" w:line="600" w:lineRule="exact"/>
        <w:ind w:firstLine="640" w:firstLineChars="200"/>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sz w:val="32"/>
          <w:szCs w:val="32"/>
          <w:lang w:val="en-US" w:eastAsia="zh-CN"/>
        </w:rPr>
        <w:t>主要包括：（1）习近平总书记关于巡视工作、</w:t>
      </w:r>
      <w:r>
        <w:rPr>
          <w:rFonts w:hint="eastAsia" w:ascii="仿宋_GB2312" w:hAnsi="仿宋_GB2312" w:eastAsia="仿宋_GB2312" w:cs="仿宋_GB2312"/>
          <w:color w:val="auto"/>
          <w:sz w:val="32"/>
          <w:szCs w:val="32"/>
          <w:lang w:val="en-US" w:eastAsia="zh-CN"/>
        </w:rPr>
        <w:t>审计工作</w:t>
      </w:r>
      <w:r>
        <w:rPr>
          <w:rFonts w:hint="eastAsia" w:ascii="仿宋_GB2312" w:hAnsi="仿宋_GB2312" w:eastAsia="仿宋_GB2312" w:cs="仿宋_GB2312"/>
          <w:sz w:val="32"/>
          <w:szCs w:val="32"/>
          <w:lang w:val="en-US" w:eastAsia="zh-CN"/>
        </w:rPr>
        <w:t>的重要论述和重要指示精神；（2）党中央关于巡视工作的重大决策部署；（3）税务总局党委关于税务巡视巡察工作的部署要求；</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督察内审基础理论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督察内审相关工作制度、规范；</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税务系统内部监督体系；（7）</w:t>
      </w:r>
      <w:r>
        <w:rPr>
          <w:rFonts w:hint="eastAsia" w:ascii="仿宋_GB2312" w:hAnsi="仿宋_GB2312" w:eastAsia="仿宋_GB2312" w:cs="仿宋_GB2312"/>
          <w:color w:val="auto"/>
          <w:sz w:val="32"/>
          <w:szCs w:val="32"/>
        </w:rPr>
        <w:t>督察内审体制机制</w:t>
      </w:r>
      <w:r>
        <w:rPr>
          <w:rFonts w:hint="eastAsia" w:ascii="仿宋_GB2312" w:hAnsi="仿宋_GB2312" w:eastAsia="仿宋_GB2312" w:cs="仿宋_GB2312"/>
          <w:color w:val="auto"/>
          <w:sz w:val="32"/>
          <w:szCs w:val="32"/>
          <w:lang w:eastAsia="zh-CN"/>
        </w:rPr>
        <w:t>改革与发展</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督察内审信息化建设</w:t>
      </w:r>
      <w:r>
        <w:rPr>
          <w:rFonts w:hint="eastAsia" w:ascii="仿宋_GB2312" w:hAnsi="仿宋_GB2312" w:eastAsia="仿宋_GB2312" w:cs="仿宋_GB2312"/>
          <w:color w:val="auto"/>
          <w:sz w:val="32"/>
          <w:szCs w:val="32"/>
          <w:lang w:eastAsia="zh-CN"/>
        </w:rPr>
        <w:t>等。</w:t>
      </w:r>
    </w:p>
    <w:p w14:paraId="0E51DC71">
      <w:pPr>
        <w:numPr>
          <w:ilvl w:val="0"/>
          <w:numId w:val="0"/>
        </w:numPr>
        <w:spacing w:afterLines="0" w:line="600" w:lineRule="exact"/>
        <w:ind w:firstLine="640" w:firstLineChars="20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（二）重要法律法规及政策规定</w:t>
      </w:r>
    </w:p>
    <w:p w14:paraId="4083C316">
      <w:pPr>
        <w:pStyle w:val="2"/>
        <w:keepNext w:val="0"/>
        <w:keepLines w:val="0"/>
        <w:pageBreakBefore w:val="0"/>
        <w:numPr>
          <w:ilvl w:val="0"/>
          <w:numId w:val="0"/>
        </w:numPr>
        <w:kinsoku/>
        <w:wordWrap/>
        <w:overflowPunct/>
        <w:topLinePunct w:val="0"/>
        <w:autoSpaceDE/>
        <w:autoSpaceDN/>
        <w:bidi w:val="0"/>
        <w:spacing w:afterLines="0" w:line="600" w:lineRule="exact"/>
        <w:ind w:firstLine="640" w:firstLineChars="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sz w:val="32"/>
          <w:szCs w:val="32"/>
          <w:lang w:val="en-US" w:eastAsia="zh-CN"/>
        </w:rPr>
        <w:t>主要包括：（1）《中国共产党党内监督条例》；（2）《中国共产党巡视工作条例》；（3）《中国共产党纪律处分条例》；（4）《中央巡视工作规划（2023-2027年）》；（5）《关于中央部委、中央国家机关部门党组（党委）开展巡视工作的指导意见（试行）》；（6）《税务总局党委巡视工作规划（2023-2027年）》；（7）《税务巡视巡察工作规范4.0》；（8）《加强巡视巡察整改和成果运用实施办法》；（9）</w:t>
      </w:r>
      <w:r>
        <w:rPr>
          <w:rFonts w:ascii="仿宋_GB2312" w:eastAsia="仿宋_GB2312" w:cs="仿宋_GB2312"/>
          <w:color w:val="000000"/>
          <w:sz w:val="31"/>
          <w:szCs w:val="31"/>
        </w:rPr>
        <w:t>《加强税务系统巡视巡察上下联动实施办法（试</w:t>
      </w:r>
      <w:r>
        <w:rPr>
          <w:rFonts w:hint="eastAsia" w:ascii="仿宋_GB2312" w:eastAsia="仿宋_GB2312" w:cs="仿宋_GB2312"/>
          <w:color w:val="000000"/>
          <w:sz w:val="31"/>
          <w:szCs w:val="31"/>
        </w:rPr>
        <w:t>行）》</w:t>
      </w:r>
      <w:r>
        <w:rPr>
          <w:rFonts w:hint="eastAsia" w:ascii="仿宋_GB2312" w:eastAsia="仿宋_GB2312" w:cs="仿宋_GB2312"/>
          <w:color w:val="000000"/>
          <w:sz w:val="31"/>
          <w:szCs w:val="31"/>
          <w:lang w:eastAsia="zh-CN"/>
        </w:rPr>
        <w:t>；（</w:t>
      </w:r>
      <w:r>
        <w:rPr>
          <w:rFonts w:hint="eastAsia" w:ascii="仿宋_GB2312" w:eastAsia="仿宋_GB2312" w:cs="仿宋_GB2312"/>
          <w:color w:val="000000"/>
          <w:sz w:val="31"/>
          <w:szCs w:val="31"/>
          <w:lang w:val="en-US" w:eastAsia="zh-CN"/>
        </w:rPr>
        <w:t>10</w:t>
      </w:r>
      <w:r>
        <w:rPr>
          <w:rFonts w:hint="eastAsia" w:ascii="仿宋_GB2312" w:eastAsia="仿宋_GB2312" w:cs="仿宋_GB2312"/>
          <w:color w:val="000000"/>
          <w:sz w:val="31"/>
          <w:szCs w:val="31"/>
          <w:lang w:eastAsia="zh-CN"/>
        </w:rPr>
        <w:t>）</w:t>
      </w:r>
      <w:r>
        <w:rPr>
          <w:rFonts w:hint="eastAsia" w:ascii="仿宋_GB2312" w:eastAsia="仿宋_GB2312" w:cs="仿宋_GB2312"/>
          <w:color w:val="000000"/>
          <w:sz w:val="31"/>
          <w:szCs w:val="31"/>
        </w:rPr>
        <w:t>《税务系统巡视巡察监督与纪检机构专责监督及部门职能监督贯通融合实施办法（试行）》</w:t>
      </w:r>
      <w:r>
        <w:rPr>
          <w:rFonts w:hint="eastAsia" w:ascii="仿宋_GB2312" w:eastAsia="仿宋_GB2312" w:cs="仿宋_GB2312"/>
          <w:color w:val="000000"/>
          <w:sz w:val="31"/>
          <w:szCs w:val="31"/>
          <w:lang w:eastAsia="zh-CN"/>
        </w:rPr>
        <w:t>；</w:t>
      </w:r>
      <w:r>
        <w:rPr>
          <w:rFonts w:hint="eastAsia" w:ascii="仿宋_GB2312" w:hAnsi="仿宋_GB2312" w:eastAsia="仿宋_GB2312" w:cs="仿宋_GB2312"/>
          <w:color w:val="auto"/>
          <w:sz w:val="32"/>
          <w:szCs w:val="32"/>
          <w:lang w:val="en-US" w:eastAsia="zh-CN"/>
        </w:rPr>
        <w:t>（11）《中华人民共和国审计法》；（12）中办、国办</w:t>
      </w:r>
      <w:r>
        <w:rPr>
          <w:rFonts w:hint="eastAsia" w:ascii="仿宋_GB2312" w:eastAsia="仿宋_GB2312" w:cs="仿宋_GB2312"/>
          <w:color w:val="auto"/>
          <w:sz w:val="32"/>
          <w:szCs w:val="32"/>
          <w:highlight w:val="none"/>
        </w:rPr>
        <w:t>《党政主要领导干部和国有企事业单位主要领导人员经济责任审计规定》</w:t>
      </w:r>
      <w:r>
        <w:rPr>
          <w:rFonts w:hint="eastAsia" w:ascii="仿宋_GB2312" w:hAnsi="仿宋_GB2312" w:eastAsia="仿宋_GB2312" w:cs="仿宋_GB2312"/>
          <w:color w:val="auto"/>
          <w:sz w:val="32"/>
          <w:szCs w:val="32"/>
          <w:lang w:val="en-US" w:eastAsia="zh-CN"/>
        </w:rPr>
        <w:t>；</w:t>
      </w:r>
      <w:r>
        <w:rPr>
          <w:rFonts w:hint="eastAsia" w:ascii="仿宋_GB2312" w:hAnsi="Times New Roman" w:eastAsia="仿宋_GB2312" w:cs="仿宋_GB2312"/>
          <w:color w:val="auto"/>
          <w:sz w:val="32"/>
          <w:szCs w:val="32"/>
          <w:highlight w:val="none"/>
          <w:lang w:val="en-US" w:eastAsia="zh-CN"/>
        </w:rPr>
        <w:t>（13）中办、国办《关于加强行政执法协调监督工作体系建设的意见》；（14</w:t>
      </w:r>
      <w:r>
        <w:rPr>
          <w:rFonts w:hint="eastAsia" w:ascii="仿宋_GB2312" w:hAnsi="仿宋_GB2312" w:eastAsia="仿宋_GB2312" w:cs="仿宋_GB2312"/>
          <w:color w:val="auto"/>
          <w:sz w:val="32"/>
          <w:szCs w:val="32"/>
          <w:lang w:val="en-US" w:eastAsia="zh-CN"/>
        </w:rPr>
        <w:t>）《提升行政执法质量三年行动计划（2023—2025年）》；（15）</w:t>
      </w:r>
      <w:r>
        <w:rPr>
          <w:rFonts w:hint="eastAsia" w:ascii="仿宋_GB2312" w:eastAsia="仿宋_GB2312"/>
          <w:color w:val="auto"/>
          <w:sz w:val="32"/>
          <w:szCs w:val="32"/>
        </w:rPr>
        <w:t>《审计署关于内部审计工作的规定》</w:t>
      </w:r>
      <w:r>
        <w:rPr>
          <w:rFonts w:hint="eastAsia" w:ascii="仿宋_GB2312" w:eastAsia="仿宋_GB2312"/>
          <w:color w:val="auto"/>
          <w:sz w:val="32"/>
          <w:szCs w:val="32"/>
          <w:lang w:eastAsia="zh-CN"/>
        </w:rPr>
        <w:t>；</w:t>
      </w:r>
      <w:r>
        <w:rPr>
          <w:rFonts w:hint="eastAsia" w:ascii="仿宋_GB2312" w:hAnsi="仿宋_GB2312" w:eastAsia="仿宋_GB2312" w:cs="仿宋_GB2312"/>
          <w:color w:val="auto"/>
          <w:sz w:val="32"/>
          <w:szCs w:val="32"/>
          <w:lang w:val="en-US" w:eastAsia="zh-CN"/>
        </w:rPr>
        <w:t>（16）《税收执法督察规则》；（17）《关于构建完善税务系统一体化综合监督体系的意见》；（18）《税收违法案件一案双查实施办法》</w:t>
      </w:r>
      <w:r>
        <w:rPr>
          <w:rFonts w:hint="eastAsia" w:ascii="仿宋_GB2312" w:eastAsia="仿宋_GB2312"/>
          <w:color w:val="auto"/>
          <w:sz w:val="32"/>
          <w:szCs w:val="32"/>
          <w:lang w:eastAsia="zh-CN"/>
        </w:rPr>
        <w:t>等</w:t>
      </w:r>
      <w:r>
        <w:rPr>
          <w:rFonts w:hint="eastAsia" w:ascii="仿宋_GB2312" w:hAnsi="仿宋_GB2312" w:eastAsia="仿宋_GB2312" w:cs="仿宋_GB2312"/>
          <w:color w:val="auto"/>
          <w:sz w:val="32"/>
          <w:szCs w:val="32"/>
          <w:lang w:val="en-US" w:eastAsia="zh-CN"/>
        </w:rPr>
        <w:t>。</w:t>
      </w:r>
    </w:p>
    <w:p w14:paraId="7A4F88F7">
      <w:pPr>
        <w:pStyle w:val="2"/>
        <w:keepNext w:val="0"/>
        <w:keepLines w:val="0"/>
        <w:pageBreakBefore w:val="0"/>
        <w:numPr>
          <w:ilvl w:val="0"/>
          <w:numId w:val="0"/>
        </w:numPr>
        <w:kinsoku/>
        <w:wordWrap/>
        <w:overflowPunct/>
        <w:topLinePunct w:val="0"/>
        <w:autoSpaceDE/>
        <w:autoSpaceDN/>
        <w:bidi w:val="0"/>
        <w:spacing w:afterLines="0" w:line="600" w:lineRule="exact"/>
        <w:ind w:firstLine="640" w:firstLineChars="0"/>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（三）巡视工作定位方针原则</w:t>
      </w:r>
    </w:p>
    <w:p w14:paraId="419063AA">
      <w:pPr>
        <w:pStyle w:val="4"/>
        <w:keepNext w:val="0"/>
        <w:keepLines w:val="0"/>
        <w:widowControl/>
        <w:numPr>
          <w:ilvl w:val="0"/>
          <w:numId w:val="0"/>
        </w:numPr>
        <w:suppressLineNumbers w:val="0"/>
        <w:spacing w:afterLines="0" w:line="60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主要包括：（1）巡视工作的概念；（2）巡视工作方针；（3）巡视工作的定位；（4）巡视工作遵循的原则。</w:t>
      </w:r>
    </w:p>
    <w:p w14:paraId="6652BD62">
      <w:pPr>
        <w:numPr>
          <w:ilvl w:val="0"/>
          <w:numId w:val="0"/>
        </w:numPr>
        <w:spacing w:afterLines="0" w:line="600" w:lineRule="exact"/>
        <w:ind w:firstLine="640" w:firstLineChars="20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（四）巡视巡察组织领导和机构职责</w:t>
      </w:r>
    </w:p>
    <w:p w14:paraId="2DE08872">
      <w:pPr>
        <w:numPr>
          <w:ilvl w:val="0"/>
          <w:numId w:val="0"/>
        </w:numPr>
        <w:spacing w:afterLines="0" w:line="60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主要包括：（1）巡视体制机制；（2）税务系统巡视巡察体制；（3）税务系统巡视巡察机构和主要职责。</w:t>
      </w:r>
    </w:p>
    <w:p w14:paraId="790B1A6C">
      <w:pPr>
        <w:numPr>
          <w:ilvl w:val="0"/>
          <w:numId w:val="0"/>
        </w:numPr>
        <w:spacing w:afterLines="0" w:line="600" w:lineRule="exact"/>
        <w:ind w:firstLine="640" w:firstLineChars="20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（五）巡视巡察对象和内容</w:t>
      </w:r>
    </w:p>
    <w:p w14:paraId="04040BDF">
      <w:pPr>
        <w:numPr>
          <w:ilvl w:val="0"/>
          <w:numId w:val="0"/>
        </w:numPr>
        <w:spacing w:afterLines="0" w:line="60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主要包括：（1）税务巡视巡察对象和范围；（2）党的二十大届期税务总局党委巡视全覆盖对象；（3）巡视监督重点；（4）巡察监督重点。</w:t>
      </w:r>
    </w:p>
    <w:p w14:paraId="590FA789">
      <w:pPr>
        <w:numPr>
          <w:ilvl w:val="0"/>
          <w:numId w:val="0"/>
        </w:numPr>
        <w:spacing w:afterLines="0" w:line="600" w:lineRule="exact"/>
        <w:ind w:firstLine="640" w:firstLineChars="20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（六）巡视巡察工作程序、方式和权限</w:t>
      </w:r>
    </w:p>
    <w:p w14:paraId="4E322CA4">
      <w:pPr>
        <w:numPr>
          <w:ilvl w:val="0"/>
          <w:numId w:val="0"/>
        </w:numPr>
        <w:spacing w:afterLines="0" w:line="60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主要包括：（1）税务巡视巡察方式；（2）税务巡视巡察组工作方式；（3）税务巡视巡察组权限；（4）税务巡视巡察主要工作程序及有关规定。</w:t>
      </w:r>
    </w:p>
    <w:p w14:paraId="777A1B29">
      <w:pPr>
        <w:numPr>
          <w:ilvl w:val="0"/>
          <w:numId w:val="0"/>
        </w:numPr>
        <w:spacing w:afterLines="0" w:line="600" w:lineRule="exact"/>
        <w:ind w:firstLine="640" w:firstLineChars="20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（七）巡视巡察整改和成果运用</w:t>
      </w:r>
    </w:p>
    <w:p w14:paraId="7CBD531B">
      <w:pPr>
        <w:numPr>
          <w:ilvl w:val="0"/>
          <w:numId w:val="0"/>
        </w:numPr>
        <w:spacing w:afterLines="0" w:line="60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开展巡视巡察工作的党组织在巡视巡察整改和成果运用中的组织领导责任；（2）被巡视巡察党组织的整改主体责任；（3）被巡视巡察党组织在集中整改期的重点任务；（4）开展巡视巡察工作的党组织同级纪检监察机关、组织部门的整改监督责任；（5）有关职能部门的成果运用责任；（6）开展巡视巡察工作的党组织的巡视巡察机构在巡视巡察整改和成果运用中的责任。</w:t>
      </w:r>
    </w:p>
    <w:p w14:paraId="114482CD">
      <w:pPr>
        <w:numPr>
          <w:ilvl w:val="0"/>
          <w:numId w:val="0"/>
        </w:numPr>
        <w:spacing w:afterLines="0" w:line="600" w:lineRule="exact"/>
        <w:ind w:firstLine="640" w:firstLineChars="20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（八）责任追究</w:t>
      </w:r>
    </w:p>
    <w:p w14:paraId="051BF59C">
      <w:pPr>
        <w:numPr>
          <w:ilvl w:val="0"/>
          <w:numId w:val="0"/>
        </w:numPr>
        <w:spacing w:afterLines="0" w:line="600" w:lineRule="exact"/>
        <w:ind w:firstLine="640" w:firstLineChars="200"/>
        <w:jc w:val="both"/>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主要包括：（1）开展巡视巡察的党组织被追责的情形；（2）有关机关、部门和单位被追责的情形；（3）巡视巡察工作人员被追责的情形；（4）被巡视巡察党组织及其工作人员被追责的情形。</w:t>
      </w:r>
    </w:p>
    <w:p w14:paraId="06394B99">
      <w:pPr>
        <w:numPr>
          <w:ilvl w:val="0"/>
          <w:numId w:val="0"/>
        </w:numPr>
        <w:spacing w:afterLines="0" w:line="600" w:lineRule="exact"/>
        <w:ind w:firstLine="640" w:firstLineChars="20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（九）内控管理</w:t>
      </w:r>
    </w:p>
    <w:p w14:paraId="060FA04B">
      <w:pPr>
        <w:keepNext w:val="0"/>
        <w:keepLines w:val="0"/>
        <w:pageBreakBefore w:val="0"/>
        <w:kinsoku/>
        <w:wordWrap/>
        <w:overflowPunct/>
        <w:topLinePunct w:val="0"/>
        <w:autoSpaceDE/>
        <w:autoSpaceDN/>
        <w:bidi w:val="0"/>
        <w:adjustRightInd w:val="0"/>
        <w:snapToGrid w:val="0"/>
        <w:spacing w:afterLines="0" w:line="60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黑体" w:eastAsia="仿宋_GB2312" w:cs="仿宋_GB2312"/>
          <w:color w:val="auto"/>
          <w:sz w:val="32"/>
          <w:szCs w:val="32"/>
        </w:rPr>
        <w:t>主要包括：</w:t>
      </w:r>
      <w:r>
        <w:rPr>
          <w:rFonts w:hint="eastAsia" w:ascii="仿宋_GB2312" w:hAnsi="仿宋_GB2312" w:eastAsia="仿宋_GB2312" w:cs="仿宋_GB2312"/>
          <w:color w:val="auto"/>
          <w:sz w:val="32"/>
          <w:szCs w:val="32"/>
        </w:rPr>
        <w:t>（1）内部控制</w:t>
      </w:r>
      <w:r>
        <w:rPr>
          <w:rFonts w:hint="eastAsia" w:ascii="仿宋_GB2312" w:hAnsi="仿宋_GB2312" w:eastAsia="仿宋_GB2312" w:cs="仿宋_GB2312"/>
          <w:color w:val="auto"/>
          <w:sz w:val="32"/>
          <w:szCs w:val="32"/>
          <w:lang w:eastAsia="zh-CN"/>
        </w:rPr>
        <w:t>基础</w:t>
      </w:r>
      <w:r>
        <w:rPr>
          <w:rFonts w:hint="eastAsia" w:ascii="仿宋_GB2312" w:hAnsi="仿宋_GB2312" w:eastAsia="仿宋_GB2312" w:cs="仿宋_GB2312"/>
          <w:color w:val="auto"/>
          <w:sz w:val="32"/>
          <w:szCs w:val="32"/>
        </w:rPr>
        <w:t>理论；（2）税务系统内部控制制度</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（3）分级分类内控工作模式；（4）增值税发票内部风险快速反应；（5）</w:t>
      </w:r>
      <w:r>
        <w:rPr>
          <w:rFonts w:hint="eastAsia" w:ascii="仿宋_GB2312" w:hAnsi="仿宋_GB2312" w:eastAsia="仿宋_GB2312" w:cs="仿宋_GB2312"/>
          <w:color w:val="auto"/>
          <w:sz w:val="32"/>
          <w:szCs w:val="32"/>
          <w:lang w:eastAsia="zh-CN"/>
        </w:rPr>
        <w:t>重点领域风险防控措施；（</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全国税务系统内部控制监督平台的主要功能</w:t>
      </w:r>
      <w:r>
        <w:rPr>
          <w:rFonts w:hint="eastAsia" w:ascii="仿宋_GB2312" w:hAnsi="仿宋_GB2312" w:eastAsia="仿宋_GB2312" w:cs="仿宋_GB2312"/>
          <w:color w:val="auto"/>
          <w:sz w:val="32"/>
          <w:szCs w:val="32"/>
          <w:lang w:eastAsia="zh-CN"/>
        </w:rPr>
        <w:t>；（7）构建“全面覆盖、全程防控、全员有责”的税务执法信息化内控监督体系；（8）金税四期“税智控”体系建设情况等。</w:t>
      </w:r>
    </w:p>
    <w:p w14:paraId="1DC7A925">
      <w:pPr>
        <w:keepNext w:val="0"/>
        <w:keepLines w:val="0"/>
        <w:pageBreakBefore w:val="0"/>
        <w:kinsoku/>
        <w:wordWrap/>
        <w:overflowPunct/>
        <w:topLinePunct w:val="0"/>
        <w:autoSpaceDE/>
        <w:autoSpaceDN/>
        <w:bidi w:val="0"/>
        <w:adjustRightInd w:val="0"/>
        <w:snapToGrid w:val="0"/>
        <w:spacing w:afterLines="0"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（十）税收执法督察</w:t>
      </w:r>
    </w:p>
    <w:p w14:paraId="281C5B9E">
      <w:pPr>
        <w:keepNext w:val="0"/>
        <w:keepLines w:val="0"/>
        <w:pageBreakBefore w:val="0"/>
        <w:kinsoku/>
        <w:wordWrap/>
        <w:overflowPunct/>
        <w:topLinePunct w:val="0"/>
        <w:autoSpaceDE/>
        <w:autoSpaceDN/>
        <w:bidi w:val="0"/>
        <w:adjustRightInd w:val="0"/>
        <w:snapToGrid w:val="0"/>
        <w:spacing w:afterLines="0" w:line="60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主要包括：（1）税收执法督察的内容、程序和方法；</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）税收执法责任制；</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）税收执法风险；（</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w:t>
      </w:r>
      <w:r>
        <w:rPr>
          <w:rFonts w:hint="eastAsia" w:ascii="仿宋_GB2312" w:eastAsia="仿宋_GB2312"/>
          <w:color w:val="auto"/>
          <w:sz w:val="32"/>
          <w:szCs w:val="32"/>
          <w:lang w:eastAsia="zh-CN"/>
        </w:rPr>
        <w:t>税收工作重大决策部署贯彻落实督察督导；</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）税费优惠政策落实风险应对；（</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）税收违法案件一案双查；</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7</w:t>
      </w:r>
      <w:r>
        <w:rPr>
          <w:rFonts w:hint="eastAsia" w:ascii="仿宋_GB2312" w:hAnsi="仿宋_GB2312" w:eastAsia="仿宋_GB2312" w:cs="仿宋_GB2312"/>
          <w:color w:val="auto"/>
          <w:sz w:val="32"/>
          <w:szCs w:val="32"/>
          <w:lang w:eastAsia="zh-CN"/>
        </w:rPr>
        <w:t>）</w:t>
      </w:r>
      <w:r>
        <w:rPr>
          <w:rFonts w:hint="eastAsia" w:ascii="仿宋_GB2312" w:eastAsia="仿宋_GB2312"/>
          <w:color w:val="auto"/>
          <w:sz w:val="32"/>
          <w:szCs w:val="32"/>
          <w:lang w:eastAsia="zh-CN"/>
        </w:rPr>
        <w:t>成品油消费税监管督导检查</w:t>
      </w:r>
      <w:r>
        <w:rPr>
          <w:rFonts w:hint="eastAsia" w:ascii="仿宋_GB2312" w:hAnsi="仿宋_GB2312" w:eastAsia="仿宋_GB2312" w:cs="仿宋_GB2312"/>
          <w:color w:val="auto"/>
          <w:sz w:val="32"/>
          <w:szCs w:val="32"/>
          <w:lang w:eastAsia="zh-CN"/>
        </w:rPr>
        <w:t>。</w:t>
      </w:r>
    </w:p>
    <w:p w14:paraId="5038CAE1">
      <w:pPr>
        <w:keepNext w:val="0"/>
        <w:keepLines w:val="0"/>
        <w:pageBreakBefore w:val="0"/>
        <w:kinsoku/>
        <w:wordWrap/>
        <w:overflowPunct/>
        <w:topLinePunct w:val="0"/>
        <w:autoSpaceDE/>
        <w:autoSpaceDN/>
        <w:bidi w:val="0"/>
        <w:adjustRightInd w:val="0"/>
        <w:snapToGrid w:val="0"/>
        <w:spacing w:afterLines="0"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（十一）内部审计</w:t>
      </w:r>
    </w:p>
    <w:p w14:paraId="2F0876C6">
      <w:pPr>
        <w:pStyle w:val="2"/>
        <w:spacing w:afterLines="0" w:line="600" w:lineRule="exact"/>
        <w:rPr>
          <w:rFonts w:hint="eastAsia"/>
          <w:lang w:val="en-US" w:eastAsia="zh-CN"/>
        </w:rPr>
      </w:pPr>
      <w:r>
        <w:rPr>
          <w:rFonts w:hint="eastAsia" w:ascii="仿宋_GB2312" w:hAnsi="仿宋_GB2312" w:eastAsia="仿宋_GB2312" w:cs="仿宋_GB2312"/>
          <w:color w:val="auto"/>
          <w:kern w:val="2"/>
          <w:sz w:val="32"/>
          <w:szCs w:val="32"/>
          <w:lang w:val="en-US" w:eastAsia="zh-CN" w:bidi="ar-SA"/>
        </w:rPr>
        <w:t>主要包括：（1）内部审计的内容、程序和方法；（2）领导干部经济责任审计；（3）预算执行审计；（4）基本建设项目审计；（5）政府采购审计等。</w:t>
      </w:r>
    </w:p>
    <w:p w14:paraId="65772F23">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二、税收传播方向</w:t>
      </w:r>
    </w:p>
    <w:p w14:paraId="7D53D81C">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（一）专业通识</w:t>
      </w:r>
    </w:p>
    <w:p w14:paraId="73C9C164">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sz w:val="32"/>
          <w:szCs w:val="32"/>
          <w:lang w:eastAsia="zh-CN"/>
        </w:rPr>
      </w:pPr>
      <w:r>
        <w:rPr>
          <w:rFonts w:hint="eastAsia" w:ascii="仿宋_GB2312" w:hAnsi="仿宋_GB2312" w:eastAsia="仿宋_GB2312" w:cs="仿宋_GB2312"/>
          <w:sz w:val="32"/>
          <w:szCs w:val="32"/>
          <w:lang w:val="en-US" w:eastAsia="zh-CN"/>
        </w:rPr>
        <w:t>主要包括：（1）习近平文化思想；（2）习近平法治思想；（3）党中央、国务院关于宣传思想工作的重大决策部署；（4）税务总局党委对宣传思想工作的部署要求;</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）习近平总书记关于</w:t>
      </w:r>
      <w:r>
        <w:rPr>
          <w:rFonts w:hint="eastAsia" w:ascii="仿宋_GB2312" w:hAnsi="仿宋_GB2312" w:eastAsia="仿宋_GB2312" w:cs="仿宋_GB2312"/>
          <w:sz w:val="32"/>
          <w:szCs w:val="32"/>
          <w:lang w:eastAsia="zh-CN"/>
        </w:rPr>
        <w:t>智库建设的</w:t>
      </w:r>
      <w:r>
        <w:rPr>
          <w:rFonts w:hint="eastAsia" w:ascii="仿宋_GB2312" w:hAnsi="仿宋_GB2312" w:eastAsia="仿宋_GB2312" w:cs="仿宋_GB2312"/>
          <w:sz w:val="32"/>
          <w:szCs w:val="32"/>
        </w:rPr>
        <w:t>重要论述</w:t>
      </w:r>
      <w:r>
        <w:rPr>
          <w:rFonts w:hint="eastAsia" w:ascii="楷体_GB2312" w:hAnsi="楷体_GB2312" w:eastAsia="楷体_GB2312" w:cs="楷体_GB2312"/>
          <w:sz w:val="32"/>
          <w:szCs w:val="32"/>
          <w:lang w:val="en-US" w:eastAsia="zh-CN"/>
        </w:rPr>
        <w:t>;</w:t>
      </w:r>
      <w:r>
        <w:rPr>
          <w:rFonts w:hint="eastAsia" w:ascii="楷体_GB2312" w:hAnsi="楷体_GB2312" w:eastAsia="楷体_GB2312" w:cs="楷体_GB2312"/>
          <w:sz w:val="32"/>
          <w:szCs w:val="32"/>
          <w:lang w:eastAsia="zh-CN"/>
        </w:rPr>
        <w:t>（</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习近平总书记在哲学社会科学工作座谈会上的讲话</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）党中央、国务院关于科研工作</w:t>
      </w:r>
      <w:r>
        <w:rPr>
          <w:rFonts w:hint="eastAsia" w:ascii="仿宋_GB2312" w:hAnsi="仿宋_GB2312" w:eastAsia="仿宋_GB2312" w:cs="仿宋_GB2312"/>
          <w:sz w:val="32"/>
          <w:szCs w:val="32"/>
          <w:lang w:eastAsia="zh-CN"/>
        </w:rPr>
        <w:t>、智库建设</w:t>
      </w:r>
      <w:r>
        <w:rPr>
          <w:rFonts w:hint="eastAsia" w:ascii="仿宋_GB2312" w:hAnsi="仿宋_GB2312" w:eastAsia="仿宋_GB2312" w:cs="仿宋_GB2312"/>
          <w:sz w:val="32"/>
          <w:szCs w:val="32"/>
        </w:rPr>
        <w:t>的决策部署</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科学研究的基本方法及其在</w:t>
      </w:r>
      <w:r>
        <w:rPr>
          <w:rFonts w:hint="eastAsia" w:ascii="仿宋_GB2312" w:hAnsi="仿宋_GB2312" w:eastAsia="仿宋_GB2312" w:cs="仿宋_GB2312"/>
          <w:sz w:val="32"/>
          <w:szCs w:val="32"/>
          <w:lang w:eastAsia="zh-CN"/>
        </w:rPr>
        <w:t>税收</w:t>
      </w:r>
      <w:r>
        <w:rPr>
          <w:rFonts w:hint="eastAsia" w:ascii="仿宋_GB2312" w:hAnsi="仿宋_GB2312" w:eastAsia="仿宋_GB2312" w:cs="仿宋_GB2312"/>
          <w:sz w:val="32"/>
          <w:szCs w:val="32"/>
        </w:rPr>
        <w:t>领域的应用</w:t>
      </w:r>
      <w:r>
        <w:rPr>
          <w:rFonts w:hint="eastAsia" w:ascii="仿宋_GB2312" w:hAnsi="仿宋_GB2312" w:eastAsia="仿宋_GB2312" w:cs="仿宋_GB2312"/>
          <w:sz w:val="32"/>
          <w:szCs w:val="32"/>
          <w:lang w:eastAsia="zh-CN"/>
        </w:rPr>
        <w:t>等</w:t>
      </w:r>
      <w:r>
        <w:rPr>
          <w:rFonts w:hint="eastAsia" w:ascii="仿宋_GB2312" w:hAnsi="仿宋_GB2312" w:eastAsia="仿宋_GB2312" w:cs="仿宋_GB2312"/>
          <w:sz w:val="32"/>
          <w:szCs w:val="32"/>
        </w:rPr>
        <w:t>。</w:t>
      </w:r>
    </w:p>
    <w:p w14:paraId="7BF0B0FC">
      <w:pPr>
        <w:keepNext w:val="0"/>
        <w:keepLines w:val="0"/>
        <w:pageBreakBefore w:val="0"/>
        <w:widowControl w:val="0"/>
        <w:kinsoku/>
        <w:wordWrap/>
        <w:overflowPunct/>
        <w:topLinePunct w:val="0"/>
        <w:autoSpaceDE/>
        <w:autoSpaceDN/>
        <w:bidi w:val="0"/>
        <w:adjustRightInd/>
        <w:snapToGrid/>
        <w:spacing w:afterLines="0" w:line="600" w:lineRule="exact"/>
        <w:ind w:firstLine="64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（二）重要法律法规及政策规定</w:t>
      </w:r>
    </w:p>
    <w:p w14:paraId="78F53CDF">
      <w:pPr>
        <w:keepNext w:val="0"/>
        <w:keepLines w:val="0"/>
        <w:pageBreakBefore w:val="0"/>
        <w:kinsoku/>
        <w:wordWrap/>
        <w:topLinePunct w:val="0"/>
        <w:bidi w:val="0"/>
        <w:snapToGrid/>
        <w:spacing w:afterLines="0" w:line="60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中国共产党宣传工作条例》；（2）《中共国家税务总局委员会关于贯彻落实&lt;党委（党组）意识形态工作责任制实施办法&gt;的通知》；（3）《中共国家税务总局委员会关于贯彻落实&lt;党委（党组）网络意识形态工作责任制实施细则&gt;的通知》；（4）《中华人民共和国政府信息公开条例》；（5）中办、国办《关于全面推进政务公开工作的意见》；（6）国办《&lt;关于全面推进政务公开工作的意见&gt;实施细则》；（7）《中共国家税务总局委员会关于加强税务系统宣传思想工作的意见》；（8）《国家税务总局税费政策宣传解读工作规范》；（9）《税务系统舆情管理工作规范》；（10）《关于加强税务网站新媒体矩阵建设的通知》;（11）《关于加强税务新媒体运营与监管机制建设的通知》；</w:t>
      </w:r>
      <w:r>
        <w:rPr>
          <w:rFonts w:hint="eastAsia" w:ascii="仿宋_GB2312" w:hAnsi="仿宋_GB2312" w:eastAsia="仿宋_GB2312" w:cs="仿宋_GB2312"/>
          <w:sz w:val="32"/>
          <w:szCs w:val="40"/>
          <w:lang w:val="en-US" w:eastAsia="zh-CN"/>
        </w:rPr>
        <w:t>（12）国家税务总局、教育部《关于加强青少年学生税法宣传教育的通知》；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13</w:t>
      </w:r>
      <w:r>
        <w:rPr>
          <w:rFonts w:hint="eastAsia" w:ascii="仿宋_GB2312" w:hAnsi="仿宋_GB2312" w:eastAsia="仿宋_GB2312" w:cs="仿宋_GB2312"/>
          <w:sz w:val="32"/>
          <w:szCs w:val="32"/>
          <w:lang w:eastAsia="zh-CN"/>
        </w:rPr>
        <w:t>）中共中央办公厅</w:t>
      </w:r>
      <w:r>
        <w:rPr>
          <w:rFonts w:hint="eastAsia" w:ascii="仿宋_GB2312" w:hAnsi="仿宋_GB2312" w:eastAsia="仿宋_GB2312" w:cs="仿宋_GB2312"/>
          <w:sz w:val="32"/>
          <w:szCs w:val="32"/>
          <w:lang w:val="en-US" w:eastAsia="zh-CN"/>
        </w:rPr>
        <w:t xml:space="preserve"> 国务院办公厅关于印发《关于加强中国特色新型智库建设的意见》的通知；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科研</w:t>
      </w:r>
      <w:r>
        <w:rPr>
          <w:rFonts w:hint="eastAsia" w:ascii="仿宋_GB2312" w:hAnsi="仿宋_GB2312" w:eastAsia="仿宋_GB2312" w:cs="仿宋_GB2312"/>
          <w:sz w:val="32"/>
          <w:szCs w:val="32"/>
          <w:lang w:eastAsia="zh-CN"/>
        </w:rPr>
        <w:t>课题</w:t>
      </w:r>
      <w:r>
        <w:rPr>
          <w:rFonts w:hint="eastAsia" w:ascii="仿宋_GB2312" w:hAnsi="仿宋_GB2312" w:eastAsia="仿宋_GB2312" w:cs="仿宋_GB2312"/>
          <w:sz w:val="32"/>
          <w:szCs w:val="32"/>
        </w:rPr>
        <w:t>管理、</w:t>
      </w:r>
      <w:r>
        <w:rPr>
          <w:rFonts w:hint="eastAsia" w:ascii="仿宋_GB2312" w:hAnsi="仿宋_GB2312" w:eastAsia="仿宋_GB2312" w:cs="仿宋_GB2312"/>
          <w:sz w:val="32"/>
          <w:szCs w:val="32"/>
          <w:lang w:eastAsia="zh-CN"/>
        </w:rPr>
        <w:t>经费</w:t>
      </w:r>
      <w:r>
        <w:rPr>
          <w:rFonts w:hint="eastAsia" w:ascii="仿宋_GB2312" w:hAnsi="仿宋_GB2312" w:eastAsia="仿宋_GB2312" w:cs="仿宋_GB2312"/>
          <w:sz w:val="32"/>
          <w:szCs w:val="32"/>
        </w:rPr>
        <w:t>使用与成果转化的</w:t>
      </w:r>
      <w:r>
        <w:rPr>
          <w:rFonts w:hint="eastAsia" w:ascii="仿宋_GB2312" w:hAnsi="仿宋_GB2312" w:eastAsia="仿宋_GB2312" w:cs="仿宋_GB2312"/>
          <w:sz w:val="32"/>
          <w:szCs w:val="32"/>
          <w:lang w:eastAsia="zh-CN"/>
        </w:rPr>
        <w:t>有关规定等。</w:t>
      </w:r>
    </w:p>
    <w:p w14:paraId="01125AE1">
      <w:pPr>
        <w:keepNext w:val="0"/>
        <w:keepLines w:val="0"/>
        <w:pageBreakBefore w:val="0"/>
        <w:widowControl w:val="0"/>
        <w:kinsoku/>
        <w:wordWrap/>
        <w:overflowPunct/>
        <w:topLinePunct w:val="0"/>
        <w:autoSpaceDE/>
        <w:autoSpaceDN/>
        <w:bidi w:val="0"/>
        <w:adjustRightInd/>
        <w:snapToGrid/>
        <w:spacing w:afterLines="0" w:line="600" w:lineRule="exact"/>
        <w:ind w:firstLine="64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（三）税费政策宣传解读</w:t>
      </w:r>
    </w:p>
    <w:p w14:paraId="30595777">
      <w:pPr>
        <w:keepNext w:val="0"/>
        <w:keepLines w:val="0"/>
        <w:pageBreakBefore w:val="0"/>
        <w:widowControl/>
        <w:suppressLineNumbers w:val="0"/>
        <w:kinsoku/>
        <w:wordWrap/>
        <w:overflowPunct/>
        <w:topLinePunct w:val="0"/>
        <w:autoSpaceDE/>
        <w:autoSpaceDN/>
        <w:bidi w:val="0"/>
        <w:adjustRightInd/>
        <w:snapToGrid/>
        <w:spacing w:afterLines="0"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社会公众需求研究、税费政策宣传解读产品策划、风险评估；（2）税费政策宣传解读产品制作流程、审核注意事项、内容形式要求；（3）税费政策解读产品发布工作环节、平台投放管理、外部渠道扩展；（4）税费政策宣传解读产品传播效果评估、相关工作机制等。</w:t>
      </w:r>
    </w:p>
    <w:p w14:paraId="76927075">
      <w:pPr>
        <w:keepNext w:val="0"/>
        <w:keepLines w:val="0"/>
        <w:pageBreakBefore w:val="0"/>
        <w:widowControl w:val="0"/>
        <w:kinsoku/>
        <w:wordWrap/>
        <w:overflowPunct/>
        <w:topLinePunct w:val="0"/>
        <w:autoSpaceDE/>
        <w:autoSpaceDN/>
        <w:bidi w:val="0"/>
        <w:adjustRightInd/>
        <w:snapToGrid/>
        <w:spacing w:afterLines="0" w:line="600" w:lineRule="exact"/>
        <w:ind w:firstLine="64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（四）税收普法宣传</w:t>
      </w:r>
    </w:p>
    <w:p w14:paraId="7505B281">
      <w:pPr>
        <w:keepNext w:val="0"/>
        <w:keepLines w:val="0"/>
        <w:pageBreakBefore w:val="0"/>
        <w:widowControl w:val="0"/>
        <w:numPr>
          <w:ilvl w:val="0"/>
          <w:numId w:val="0"/>
        </w:numPr>
        <w:kinsoku/>
        <w:wordWrap/>
        <w:overflowPunct/>
        <w:topLinePunct w:val="0"/>
        <w:autoSpaceDE/>
        <w:autoSpaceDN/>
        <w:bidi w:val="0"/>
        <w:adjustRightInd/>
        <w:snapToGrid/>
        <w:spacing w:afterLines="0" w:line="600" w:lineRule="exact"/>
        <w:ind w:firstLine="640"/>
        <w:textAlignment w:val="auto"/>
        <w:rPr>
          <w:rFonts w:hint="default"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主要包括：（1）税收“八五”普法规划；（2）税收宣传月等集中普法活动策划组织；（3）税收普法阵地建设及传播等。</w:t>
      </w:r>
    </w:p>
    <w:p w14:paraId="2BE275B0">
      <w:pPr>
        <w:keepNext w:val="0"/>
        <w:keepLines w:val="0"/>
        <w:pageBreakBefore w:val="0"/>
        <w:widowControl w:val="0"/>
        <w:kinsoku/>
        <w:wordWrap/>
        <w:overflowPunct/>
        <w:topLinePunct w:val="0"/>
        <w:autoSpaceDE/>
        <w:autoSpaceDN/>
        <w:bidi w:val="0"/>
        <w:adjustRightInd/>
        <w:snapToGrid/>
        <w:spacing w:afterLines="0" w:line="600" w:lineRule="exact"/>
        <w:ind w:firstLine="64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（五）税收新闻宣传和舆论引导</w:t>
      </w:r>
    </w:p>
    <w:p w14:paraId="3F44383F">
      <w:pPr>
        <w:keepNext w:val="0"/>
        <w:keepLines w:val="0"/>
        <w:pageBreakBefore w:val="0"/>
        <w:widowControl w:val="0"/>
        <w:numPr>
          <w:ilvl w:val="0"/>
          <w:numId w:val="0"/>
        </w:numPr>
        <w:kinsoku/>
        <w:wordWrap/>
        <w:overflowPunct/>
        <w:topLinePunct w:val="0"/>
        <w:autoSpaceDE/>
        <w:autoSpaceDN/>
        <w:bidi w:val="0"/>
        <w:adjustRightInd/>
        <w:snapToGrid/>
        <w:spacing w:afterLines="0" w:line="60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主要包括：（1）新闻、互联网传播规律及特点；（2）新闻稿</w:t>
      </w:r>
      <w:r>
        <w:rPr>
          <w:rFonts w:hint="eastAsia" w:ascii="仿宋_GB2312" w:hAnsi="仿宋_GB2312" w:eastAsia="仿宋_GB2312" w:cs="仿宋_GB2312"/>
          <w:sz w:val="32"/>
          <w:szCs w:val="40"/>
          <w:lang w:val="en-US" w:eastAsia="zh-CN"/>
        </w:rPr>
        <w:t>件、广电新闻、新媒体产品创作与传播；（3）新闻发布会、调研采访、新媒体宣传等新闻宣传活动策划组织；（4）涉税违法案件曝光；（5）税</w:t>
      </w:r>
      <w:r>
        <w:rPr>
          <w:rFonts w:hint="eastAsia" w:ascii="仿宋_GB2312" w:hAnsi="仿宋_GB2312" w:eastAsia="仿宋_GB2312" w:cs="仿宋_GB2312"/>
          <w:sz w:val="32"/>
          <w:szCs w:val="32"/>
          <w:lang w:val="en-US" w:eastAsia="zh-CN"/>
        </w:rPr>
        <w:t>收国际传播；（6）税收影视及文学文艺作品创作与宣传推广；（7）税收文化宣传活动；（8）税收文物及传播活动等。</w:t>
      </w:r>
    </w:p>
    <w:p w14:paraId="5E9E3B4D">
      <w:pPr>
        <w:keepNext w:val="0"/>
        <w:keepLines w:val="0"/>
        <w:pageBreakBefore w:val="0"/>
        <w:widowControl w:val="0"/>
        <w:kinsoku/>
        <w:wordWrap/>
        <w:overflowPunct/>
        <w:topLinePunct w:val="0"/>
        <w:autoSpaceDE/>
        <w:autoSpaceDN/>
        <w:bidi w:val="0"/>
        <w:adjustRightInd/>
        <w:snapToGrid/>
        <w:spacing w:afterLines="0" w:line="600" w:lineRule="exact"/>
        <w:ind w:firstLine="64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（六）税收舆情管理</w:t>
      </w:r>
    </w:p>
    <w:p w14:paraId="213FABD3">
      <w:pPr>
        <w:keepNext w:val="0"/>
        <w:keepLines w:val="0"/>
        <w:pageBreakBefore w:val="0"/>
        <w:widowControl w:val="0"/>
        <w:kinsoku/>
        <w:wordWrap/>
        <w:overflowPunct/>
        <w:topLinePunct w:val="0"/>
        <w:autoSpaceDE/>
        <w:autoSpaceDN/>
        <w:bidi w:val="0"/>
        <w:adjustRightInd/>
        <w:snapToGrid/>
        <w:spacing w:afterLines="0" w:line="60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主要包括：（1）舆情管理基础理论；（2）涉税舆情管理的一般流程、内容、机制、方法及保障措施；（3）涉税舆情分析研判及应对处置；（4）互联网信息搜集分析及以舆咨政等。</w:t>
      </w:r>
    </w:p>
    <w:p w14:paraId="2DC6DF0E">
      <w:pPr>
        <w:keepNext w:val="0"/>
        <w:keepLines w:val="0"/>
        <w:pageBreakBefore w:val="0"/>
        <w:widowControl w:val="0"/>
        <w:kinsoku/>
        <w:wordWrap/>
        <w:overflowPunct/>
        <w:topLinePunct w:val="0"/>
        <w:autoSpaceDE/>
        <w:autoSpaceDN/>
        <w:bidi w:val="0"/>
        <w:adjustRightInd/>
        <w:snapToGrid/>
        <w:spacing w:afterLines="0" w:line="600" w:lineRule="exact"/>
        <w:ind w:firstLine="64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（七）政府信息公开</w:t>
      </w:r>
    </w:p>
    <w:p w14:paraId="425BAEE6">
      <w:pPr>
        <w:keepNext w:val="0"/>
        <w:keepLines w:val="0"/>
        <w:pageBreakBefore w:val="0"/>
        <w:widowControl w:val="0"/>
        <w:kinsoku/>
        <w:wordWrap/>
        <w:overflowPunct/>
        <w:topLinePunct w:val="0"/>
        <w:autoSpaceDE/>
        <w:autoSpaceDN/>
        <w:bidi w:val="0"/>
        <w:adjustRightInd/>
        <w:snapToGrid/>
        <w:spacing w:afterLines="0" w:line="60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主要包括：（1）政府信息公开的主体和范围；（2）主动公开、依申请公开的有关规定；（3）政府信息公开监督保障措施等。</w:t>
      </w:r>
    </w:p>
    <w:p w14:paraId="05DED442">
      <w:pPr>
        <w:keepNext w:val="0"/>
        <w:keepLines w:val="0"/>
        <w:pageBreakBefore w:val="0"/>
        <w:widowControl w:val="0"/>
        <w:kinsoku/>
        <w:wordWrap/>
        <w:overflowPunct/>
        <w:topLinePunct w:val="0"/>
        <w:autoSpaceDE/>
        <w:autoSpaceDN/>
        <w:bidi w:val="0"/>
        <w:adjustRightInd/>
        <w:snapToGrid/>
        <w:spacing w:afterLines="0" w:line="600" w:lineRule="exact"/>
        <w:ind w:firstLine="64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（八）调查研究</w:t>
      </w:r>
    </w:p>
    <w:p w14:paraId="0F6E98A7">
      <w:pPr>
        <w:keepNext w:val="0"/>
        <w:keepLines w:val="0"/>
        <w:pageBreakBefore w:val="0"/>
        <w:widowControl w:val="0"/>
        <w:kinsoku/>
        <w:wordWrap/>
        <w:overflowPunct/>
        <w:topLinePunct w:val="0"/>
        <w:autoSpaceDE/>
        <w:autoSpaceDN/>
        <w:bidi w:val="0"/>
        <w:adjustRightInd/>
        <w:snapToGrid/>
        <w:spacing w:afterLines="0" w:line="60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主要包括：（1）中央关于调查研究的相关规定；（2）调查研究的方式方法及组织开展；（3）调研报告写作等。</w:t>
      </w:r>
    </w:p>
    <w:p w14:paraId="04527DC8">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（九）</w:t>
      </w:r>
      <w:r>
        <w:rPr>
          <w:rFonts w:hint="eastAsia" w:ascii="楷体_GB2312" w:hAnsi="楷体_GB2312" w:eastAsia="楷体_GB2312" w:cs="楷体_GB2312"/>
          <w:sz w:val="32"/>
          <w:szCs w:val="32"/>
        </w:rPr>
        <w:t>科研能力与实践</w:t>
      </w:r>
    </w:p>
    <w:p w14:paraId="1086ED41">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主要包括：（</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）以税咨政服务决策，</w:t>
      </w:r>
      <w:r>
        <w:rPr>
          <w:rFonts w:hint="eastAsia" w:ascii="仿宋_GB2312" w:hAnsi="仿宋_GB2312" w:eastAsia="仿宋_GB2312" w:cs="仿宋_GB2312"/>
          <w:sz w:val="32"/>
          <w:szCs w:val="32"/>
          <w:lang w:val="en" w:eastAsia="zh-CN"/>
        </w:rPr>
        <w:t>关心“国之大者”，观察思考和分析研判时政热点；（</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val="en" w:eastAsia="zh-CN"/>
        </w:rPr>
        <w:t>）税收</w:t>
      </w:r>
      <w:r>
        <w:rPr>
          <w:rFonts w:hint="eastAsia" w:ascii="仿宋_GB2312" w:hAnsi="仿宋_GB2312" w:eastAsia="仿宋_GB2312" w:cs="仿宋_GB2312"/>
          <w:sz w:val="32"/>
          <w:szCs w:val="32"/>
        </w:rPr>
        <w:t>数据分析与挖掘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大数据、云计算等现代信息技术在</w:t>
      </w:r>
      <w:r>
        <w:rPr>
          <w:rFonts w:hint="eastAsia" w:ascii="仿宋_GB2312" w:hAnsi="仿宋_GB2312" w:eastAsia="仿宋_GB2312" w:cs="仿宋_GB2312"/>
          <w:sz w:val="32"/>
          <w:szCs w:val="32"/>
          <w:lang w:eastAsia="zh-CN"/>
        </w:rPr>
        <w:t>税收科研</w:t>
      </w:r>
      <w:r>
        <w:rPr>
          <w:rFonts w:hint="eastAsia" w:ascii="仿宋_GB2312" w:hAnsi="仿宋_GB2312" w:eastAsia="仿宋_GB2312" w:cs="仿宋_GB2312"/>
          <w:sz w:val="32"/>
          <w:szCs w:val="32"/>
        </w:rPr>
        <w:t>中的应用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税收政策的经济效应、社会效应评估方法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典型税收政策案例剖析与评估实践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科研诚信与学术道德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学术不端行为的识别、预防与处理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）税收科研成果转化、传播与交流策略等。</w:t>
      </w:r>
    </w:p>
    <w:p w14:paraId="39DFD8C6">
      <w:pPr>
        <w:keepNext w:val="0"/>
        <w:keepLines w:val="0"/>
        <w:pageBreakBefore w:val="0"/>
        <w:widowControl w:val="0"/>
        <w:kinsoku/>
        <w:wordWrap/>
        <w:overflowPunct/>
        <w:topLinePunct w:val="0"/>
        <w:autoSpaceDE/>
        <w:autoSpaceDN/>
        <w:bidi w:val="0"/>
        <w:adjustRightInd/>
        <w:snapToGrid/>
        <w:spacing w:afterLines="0" w:line="600" w:lineRule="exact"/>
        <w:jc w:val="both"/>
        <w:textAlignment w:val="auto"/>
        <w:rPr>
          <w:rFonts w:hint="eastAsia" w:ascii="方正小标宋简体" w:hAnsi="宋体" w:eastAsia="方正小标宋简体" w:cs="方正小标宋简体"/>
          <w:color w:val="auto"/>
          <w:sz w:val="36"/>
          <w:szCs w:val="36"/>
        </w:rPr>
      </w:pPr>
    </w:p>
    <w:p w14:paraId="18DDF7BD">
      <w:pPr>
        <w:keepNext w:val="0"/>
        <w:keepLines w:val="0"/>
        <w:pageBreakBefore w:val="0"/>
        <w:widowControl w:val="0"/>
        <w:numPr>
          <w:ilvl w:val="0"/>
          <w:numId w:val="0"/>
        </w:numPr>
        <w:kinsoku/>
        <w:wordWrap/>
        <w:topLinePunct w:val="0"/>
        <w:bidi w:val="0"/>
        <w:spacing w:afterLines="0" w:line="600" w:lineRule="exact"/>
        <w:jc w:val="center"/>
        <w:rPr>
          <w:rFonts w:hint="eastAsia" w:ascii="方正小标宋简体" w:hAnsi="宋体" w:eastAsia="方正小标宋简体" w:cs="方正小标宋简体"/>
          <w:color w:val="auto"/>
          <w:sz w:val="36"/>
          <w:szCs w:val="36"/>
        </w:rPr>
      </w:pPr>
      <w:r>
        <w:rPr>
          <w:rFonts w:hint="eastAsia" w:ascii="方正小标宋简体" w:hAnsi="宋体" w:eastAsia="方正小标宋简体" w:cs="方正小标宋简体"/>
          <w:color w:val="auto"/>
          <w:sz w:val="36"/>
          <w:szCs w:val="36"/>
        </w:rPr>
        <w:t>第</w:t>
      </w:r>
      <w:r>
        <w:rPr>
          <w:rFonts w:hint="eastAsia" w:ascii="方正小标宋简体" w:hAnsi="宋体" w:eastAsia="方正小标宋简体" w:cs="方正小标宋简体"/>
          <w:color w:val="auto"/>
          <w:sz w:val="36"/>
          <w:szCs w:val="36"/>
          <w:lang w:eastAsia="zh-CN"/>
        </w:rPr>
        <w:t>五</w:t>
      </w:r>
      <w:r>
        <w:rPr>
          <w:rFonts w:hint="eastAsia" w:ascii="方正小标宋简体" w:hAnsi="宋体" w:eastAsia="方正小标宋简体" w:cs="方正小标宋简体"/>
          <w:color w:val="auto"/>
          <w:sz w:val="36"/>
          <w:szCs w:val="36"/>
        </w:rPr>
        <w:t>部分</w:t>
      </w:r>
      <w:r>
        <w:rPr>
          <w:rFonts w:ascii="方正小标宋简体" w:hAnsi="宋体" w:eastAsia="方正小标宋简体" w:cs="方正小标宋简体"/>
          <w:color w:val="auto"/>
          <w:sz w:val="36"/>
          <w:szCs w:val="36"/>
        </w:rPr>
        <w:t xml:space="preserve">  </w:t>
      </w:r>
      <w:r>
        <w:rPr>
          <w:rFonts w:hint="eastAsia" w:ascii="方正小标宋简体" w:hAnsi="宋体" w:eastAsia="方正小标宋简体" w:cs="方正小标宋简体"/>
          <w:color w:val="auto"/>
          <w:sz w:val="36"/>
          <w:szCs w:val="36"/>
        </w:rPr>
        <w:t>英语水平</w:t>
      </w:r>
    </w:p>
    <w:p w14:paraId="61AEA3EB">
      <w:pPr>
        <w:keepNext w:val="0"/>
        <w:keepLines w:val="0"/>
        <w:pageBreakBefore w:val="0"/>
        <w:widowControl w:val="0"/>
        <w:kinsoku/>
        <w:wordWrap/>
        <w:topLinePunct w:val="0"/>
        <w:bidi w:val="0"/>
        <w:spacing w:afterLines="0" w:line="600" w:lineRule="exact"/>
        <w:jc w:val="center"/>
        <w:rPr>
          <w:rFonts w:ascii="楷体_GB2312" w:hAnsi="华文楷体" w:eastAsia="楷体_GB2312"/>
          <w:color w:val="auto"/>
          <w:sz w:val="28"/>
          <w:szCs w:val="28"/>
        </w:rPr>
      </w:pPr>
      <w:r>
        <w:rPr>
          <w:rFonts w:hint="eastAsia" w:ascii="楷体_GB2312" w:hAnsi="华文楷体" w:eastAsia="楷体_GB2312" w:cs="楷体_GB2312"/>
          <w:color w:val="auto"/>
          <w:sz w:val="28"/>
          <w:szCs w:val="28"/>
        </w:rPr>
        <w:t>（适用于所有专业方向）</w:t>
      </w:r>
    </w:p>
    <w:p w14:paraId="5C810EE3">
      <w:pPr>
        <w:keepNext w:val="0"/>
        <w:keepLines w:val="0"/>
        <w:pageBreakBefore w:val="0"/>
        <w:widowControl w:val="0"/>
        <w:kinsoku/>
        <w:wordWrap/>
        <w:topLinePunct w:val="0"/>
        <w:bidi w:val="0"/>
        <w:spacing w:afterLines="0" w:line="600" w:lineRule="exact"/>
        <w:ind w:left="0" w:leftChars="0"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一、公共英语</w:t>
      </w:r>
    </w:p>
    <w:p w14:paraId="56D272D0">
      <w:pPr>
        <w:keepNext w:val="0"/>
        <w:keepLines w:val="0"/>
        <w:pageBreakBefore w:val="0"/>
        <w:widowControl w:val="0"/>
        <w:kinsoku/>
        <w:wordWrap/>
        <w:topLinePunct w:val="0"/>
        <w:bidi w:val="0"/>
        <w:spacing w:afterLines="0" w:line="600" w:lineRule="exact"/>
        <w:ind w:firstLine="640" w:firstLineChars="200"/>
        <w:jc w:val="both"/>
        <w:rPr>
          <w:rFonts w:ascii="仿宋_GB2312" w:hAnsi="仿宋_GB2312" w:eastAsia="仿宋_GB2312" w:cs="仿宋_GB2312"/>
          <w:color w:val="auto"/>
          <w:sz w:val="32"/>
          <w:szCs w:val="32"/>
        </w:rPr>
      </w:pPr>
      <w:r>
        <w:rPr>
          <w:rFonts w:hint="eastAsia" w:ascii="仿宋_GB2312" w:hAnsi="仿宋_GB2312" w:eastAsia="仿宋_GB2312" w:cs="仿宋_GB2312"/>
          <w:sz w:val="32"/>
          <w:szCs w:val="32"/>
        </w:rPr>
        <w:t>主要包括：</w:t>
      </w:r>
      <w:r>
        <w:rPr>
          <w:rFonts w:hint="eastAsia" w:ascii="仿宋_GB2312" w:hAnsi="仿宋_GB2312" w:eastAsia="仿宋_GB2312" w:cs="仿宋_GB2312"/>
          <w:sz w:val="32"/>
          <w:szCs w:val="32"/>
          <w:lang w:eastAsia="zh-CN"/>
        </w:rPr>
        <w:t>政治、</w:t>
      </w:r>
      <w:r>
        <w:rPr>
          <w:rFonts w:hint="eastAsia" w:ascii="仿宋_GB2312" w:hAnsi="仿宋_GB2312" w:eastAsia="仿宋_GB2312" w:cs="仿宋_GB2312"/>
          <w:sz w:val="32"/>
          <w:szCs w:val="32"/>
        </w:rPr>
        <w:t>经济、社会、文化</w:t>
      </w:r>
      <w:r>
        <w:rPr>
          <w:rFonts w:hint="eastAsia" w:ascii="仿宋_GB2312" w:hAnsi="仿宋_GB2312" w:eastAsia="仿宋_GB2312" w:cs="仿宋_GB2312"/>
          <w:sz w:val="32"/>
          <w:szCs w:val="32"/>
          <w:lang w:eastAsia="zh-CN"/>
        </w:rPr>
        <w:t>和</w:t>
      </w:r>
      <w:r>
        <w:rPr>
          <w:rFonts w:hint="eastAsia" w:ascii="仿宋_GB2312" w:hAnsi="仿宋_GB2312" w:eastAsia="仿宋_GB2312" w:cs="仿宋_GB2312"/>
          <w:sz w:val="32"/>
          <w:szCs w:val="32"/>
        </w:rPr>
        <w:t>日常学习工作应用英语。该部分内容参照大学英语六级考试水平，考核考生公共英语的听、</w:t>
      </w:r>
      <w:r>
        <w:rPr>
          <w:rFonts w:hint="eastAsia" w:ascii="仿宋_GB2312" w:hAnsi="仿宋_GB2312" w:eastAsia="仿宋_GB2312" w:cs="仿宋_GB2312"/>
          <w:sz w:val="32"/>
          <w:szCs w:val="32"/>
          <w:lang w:val="en-US" w:eastAsia="zh-CN"/>
        </w:rPr>
        <w:t>说、</w:t>
      </w:r>
      <w:r>
        <w:rPr>
          <w:rFonts w:hint="eastAsia" w:ascii="仿宋_GB2312" w:hAnsi="仿宋_GB2312" w:eastAsia="仿宋_GB2312" w:cs="仿宋_GB2312"/>
          <w:sz w:val="32"/>
          <w:szCs w:val="32"/>
        </w:rPr>
        <w:t>写、译运用能力，以英语为工具进行识图读表、开展数据分析、获取相关信息的能力。</w:t>
      </w:r>
    </w:p>
    <w:p w14:paraId="2BF771BF">
      <w:pPr>
        <w:keepNext w:val="0"/>
        <w:keepLines w:val="0"/>
        <w:pageBreakBefore w:val="0"/>
        <w:widowControl w:val="0"/>
        <w:kinsoku/>
        <w:wordWrap/>
        <w:topLinePunct w:val="0"/>
        <w:bidi w:val="0"/>
        <w:spacing w:afterLines="0" w:line="600" w:lineRule="exact"/>
        <w:ind w:left="0" w:leftChars="0"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二、税收专业英语</w:t>
      </w:r>
    </w:p>
    <w:p w14:paraId="0752F3E9">
      <w:pPr>
        <w:keepNext w:val="0"/>
        <w:keepLines w:val="0"/>
        <w:pageBreakBefore w:val="0"/>
        <w:kinsoku/>
        <w:wordWrap/>
        <w:topLinePunct w:val="0"/>
        <w:bidi w:val="0"/>
        <w:spacing w:afterLines="0" w:line="600" w:lineRule="exact"/>
        <w:ind w:firstLine="640" w:firstLineChars="200"/>
        <w:jc w:val="both"/>
        <w:rPr>
          <w:rFonts w:hint="eastAsia" w:ascii="楷体_GB2312" w:hAnsi="华文楷体" w:eastAsia="楷体_GB2312" w:cs="楷体_GB2312"/>
          <w:color w:val="auto"/>
          <w:sz w:val="28"/>
          <w:szCs w:val="28"/>
        </w:rPr>
      </w:pPr>
      <w:r>
        <w:rPr>
          <w:rFonts w:hint="eastAsia" w:ascii="仿宋_GB2312" w:hAnsi="仿宋_GB2312" w:eastAsia="仿宋_GB2312" w:cs="仿宋_GB2312"/>
          <w:color w:val="auto"/>
          <w:sz w:val="32"/>
          <w:szCs w:val="32"/>
        </w:rPr>
        <w:t>主要包括：</w:t>
      </w:r>
      <w:r>
        <w:rPr>
          <w:rFonts w:hint="eastAsia" w:ascii="仿宋_GB2312" w:hAnsi="仿宋_GB2312" w:eastAsia="仿宋_GB2312" w:cs="仿宋_GB2312"/>
          <w:sz w:val="32"/>
          <w:szCs w:val="32"/>
        </w:rPr>
        <w:t>经济、财政与税务管理、新闻报道等多种载体文章，经济、财政与税务管理等专业文献文章、专栏评论，国际税收政策、法规及影响分析文章，国际税收公开案例介绍文章等。该部分内容参考大学英语六级考试水平，考核考生对税收专业英语的掌握情况，即以英语为工具，获取信息（阅读和听力）、理解信息、分析信息并撰写文章以及国际交流沟通的能力。</w:t>
      </w:r>
    </w:p>
    <w:p w14:paraId="66353AE9"/>
    <w:p w14:paraId="5C2D2B8E"/>
    <w:p w14:paraId="204096C8"/>
    <w:sectPr>
      <w:footerReference r:id="rId3" w:type="default"/>
      <w:pgSz w:w="11906" w:h="16838"/>
      <w:pgMar w:top="1440" w:right="1474" w:bottom="1440" w:left="1587" w:header="851" w:footer="992" w:gutter="0"/>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93648">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FFC2C40">
                          <w:pPr>
                            <w:pStyle w:val="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5FFC2C40">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6802C5"/>
    <w:rsid w:val="2FDA5B4E"/>
    <w:rsid w:val="586802C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overflowPunct w:val="0"/>
      <w:autoSpaceDE w:val="0"/>
      <w:autoSpaceDN w:val="0"/>
      <w:adjustRightInd w:val="0"/>
      <w:jc w:val="both"/>
      <w:textAlignment w:val="baseline"/>
    </w:pPr>
    <w:rPr>
      <w:rFonts w:ascii="Times New Roman" w:hAnsi="Times New Roman" w:eastAsia="宋体" w:cs="Times New Roman"/>
      <w:sz w:val="21"/>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style>
  <w:style w:type="paragraph" w:styleId="3">
    <w:name w:val="footer"/>
    <w:basedOn w:val="1"/>
    <w:qFormat/>
    <w:uiPriority w:val="0"/>
    <w:pPr>
      <w:tabs>
        <w:tab w:val="center" w:pos="4153"/>
        <w:tab w:val="right" w:pos="8306"/>
      </w:tabs>
      <w:snapToGrid w:val="0"/>
      <w:jc w:val="left"/>
    </w:pPr>
    <w:rPr>
      <w:sz w:val="18"/>
    </w:rPr>
  </w:style>
  <w:style w:type="paragraph" w:styleId="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96</Words>
  <Characters>99</Characters>
  <Lines>0</Lines>
  <Paragraphs>0</Paragraphs>
  <TotalTime>0</TotalTime>
  <ScaleCrop>false</ScaleCrop>
  <LinksUpToDate>false</LinksUpToDate>
  <CharactersWithSpaces>99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2024-07-24T02:36:00Z</dcterms:created>
  <dc:creator>Administrator</dc:creator>
  <cp:lastModifiedBy>Administrator</cp:lastModifiedBy>
  <dcterms:modified xsi:type="dcterms:W3CDTF">2025-09-10T02:14:46Z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eyJoZGlkIjoiMjJjMTkwYTc3ODI4YTUxOTQ0NDg5ZTliZTg3NDM1ZTMifQ==</vt:lpwstr>
  </property>
  <property fmtid="{D5CDD505-2E9C-101B-9397-08002B2CF9AE}" pid="4" name="ICV">
    <vt:lpwstr>04B05C6650244D3DA95031F9ED4B20CF_12</vt:lpwstr>
  </property>
</Properties>
</file>