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840" w:lineRule="atLeast"/>
        <w:ind w:left="0" w:right="0" w:firstLine="0"/>
        <w:jc w:val="center"/>
        <w:rPr>
          <w:rFonts w:hint="eastAsia" w:ascii="微软雅黑" w:hAnsi="微软雅黑" w:eastAsia="微软雅黑" w:cs="微软雅黑"/>
          <w:b w:val="0"/>
          <w:bCs w:val="0"/>
          <w:i w:val="0"/>
          <w:iCs w:val="0"/>
          <w:caps w:val="0"/>
          <w:color w:val="333333"/>
          <w:spacing w:val="0"/>
          <w:sz w:val="57"/>
          <w:szCs w:val="57"/>
        </w:rPr>
      </w:pPr>
      <w:r>
        <w:rPr>
          <w:rFonts w:hint="eastAsia" w:ascii="微软雅黑" w:hAnsi="微软雅黑" w:eastAsia="微软雅黑" w:cs="微软雅黑"/>
          <w:b w:val="0"/>
          <w:bCs w:val="0"/>
          <w:i w:val="0"/>
          <w:iCs w:val="0"/>
          <w:caps w:val="0"/>
          <w:color w:val="333333"/>
          <w:spacing w:val="0"/>
          <w:sz w:val="57"/>
          <w:szCs w:val="57"/>
          <w:shd w:val="clear" w:fill="FFFFFF"/>
        </w:rPr>
        <w:t>国务院办公厅政府信息与政务公开办公室关于明确政府信息公开与业务查询事项界限的解释</w:t>
      </w:r>
    </w:p>
    <w:p>
      <w:pPr>
        <w:keepNext w:val="0"/>
        <w:keepLines w:val="0"/>
        <w:widowControl/>
        <w:suppressLineNumbers w:val="0"/>
        <w:jc w:val="left"/>
      </w:pPr>
      <w:r>
        <w:rPr>
          <w:rFonts w:hint="eastAsia" w:ascii="宋体" w:hAnsi="宋体" w:eastAsia="宋体" w:cs="宋体"/>
          <w:i w:val="0"/>
          <w:iCs w:val="0"/>
          <w:caps w:val="0"/>
          <w:color w:val="666666"/>
          <w:spacing w:val="0"/>
          <w:kern w:val="0"/>
          <w:sz w:val="21"/>
          <w:szCs w:val="21"/>
          <w:shd w:val="clear" w:fill="FFFFFF"/>
          <w:lang w:val="en-US" w:eastAsia="zh-CN" w:bidi="ar"/>
        </w:rPr>
        <w:t>2017-10-24 15:42 来源： 国务院办公厅政府信息与政务公开办公室</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666666"/>
          <w:spacing w:val="0"/>
          <w:sz w:val="21"/>
          <w:szCs w:val="21"/>
        </w:rPr>
      </w:pP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0"/>
        <w:jc w:val="center"/>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99"/>
          <w:spacing w:val="0"/>
          <w:sz w:val="24"/>
          <w:szCs w:val="24"/>
          <w:shd w:val="clear" w:fill="FFFFFF"/>
        </w:rPr>
        <w:t>国务院办公厅政府信息与政务公开办公室关于明确政府信息公开与业务查询事项界限的解释</w:t>
      </w:r>
      <w:r>
        <w:rPr>
          <w:rFonts w:hint="eastAsia" w:ascii="宋体" w:hAnsi="宋体" w:eastAsia="宋体" w:cs="宋体"/>
          <w:i w:val="0"/>
          <w:iCs w:val="0"/>
          <w:caps w:val="0"/>
          <w:color w:val="333399"/>
          <w:spacing w:val="0"/>
          <w:sz w:val="24"/>
          <w:szCs w:val="24"/>
          <w:shd w:val="clear" w:fill="FFFFFF"/>
        </w:rPr>
        <w:br w:type="textWrapping"/>
      </w:r>
      <w:r>
        <w:rPr>
          <w:rFonts w:ascii="楷体" w:hAnsi="楷体" w:eastAsia="楷体" w:cs="楷体"/>
          <w:i w:val="0"/>
          <w:iCs w:val="0"/>
          <w:caps w:val="0"/>
          <w:color w:val="333399"/>
          <w:spacing w:val="0"/>
          <w:sz w:val="24"/>
          <w:szCs w:val="24"/>
          <w:shd w:val="clear" w:fill="FFFFFF"/>
        </w:rPr>
        <w:t>国办公开办函〔2016〕206号</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国土资源部办公厅：</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《关于不动产登记资料依申请公开问题的函》（国土资厅函〔2016〕363号）收悉。经研究，并经征求国务院法制办公室、最高人民法院的意见，答复如下：</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不动产登记资料查询，以及户籍信息查询、工商登记资料查询等，属于特定行政管理领域的业务查询事项，其法律依据、办理程序、法律后果等，与《政府信息公开条例》所调整的政府信息公开行为存在根本性差别。当事人依据《政府信息公开条例》申请这类业务查询的，告知其依据相应的法律法规规定办理。</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0"/>
        <w:jc w:val="right"/>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国务院办公厅政府信息与政务公开办公室</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0"/>
        <w:jc w:val="right"/>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2016年9月18日</w:t>
      </w:r>
    </w:p>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4F0D457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Office_11.8.2.10158_F1E327BC-269C-435d-A152-05C5408002CA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s</dc:creator>
  <cp:lastModifiedBy>s</cp:lastModifiedBy>
  <dcterms:modified xsi:type="dcterms:W3CDTF">2022-01-04T08:29:54Z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2052-11.8.2.10158</vt:lpwstr>
  </property>
</Properties>
</file>